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A1" w:rsidRDefault="001614A1" w:rsidP="001614A1">
      <w:pPr>
        <w:tabs>
          <w:tab w:val="left" w:pos="5670"/>
        </w:tabs>
        <w:rPr>
          <w:sz w:val="20"/>
        </w:rPr>
      </w:pPr>
    </w:p>
    <w:p w:rsidR="001614A1" w:rsidRDefault="001614A1" w:rsidP="00AC258F">
      <w:pPr>
        <w:tabs>
          <w:tab w:val="left" w:pos="5670"/>
        </w:tabs>
        <w:spacing w:after="120"/>
        <w:rPr>
          <w:sz w:val="20"/>
        </w:rPr>
      </w:pPr>
      <w:r>
        <w:rPr>
          <w:sz w:val="20"/>
        </w:rPr>
        <w:t>Absender:</w:t>
      </w:r>
      <w:r>
        <w:rPr>
          <w:sz w:val="20"/>
        </w:rPr>
        <w:tab/>
      </w:r>
      <w:r>
        <w:rPr>
          <w:b/>
          <w:sz w:val="20"/>
        </w:rPr>
        <w:t>Einschreiben</w:t>
      </w:r>
    </w:p>
    <w:bookmarkStart w:id="0" w:name="Text1"/>
    <w:p w:rsidR="001614A1" w:rsidRDefault="001614A1" w:rsidP="00AC258F">
      <w:pPr>
        <w:pBdr>
          <w:bottom w:val="single" w:sz="4" w:space="1" w:color="auto"/>
        </w:pBdr>
        <w:tabs>
          <w:tab w:val="left" w:pos="567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1614A1" w:rsidRDefault="00AC258F" w:rsidP="00AC258F">
      <w:pPr>
        <w:pBdr>
          <w:bottom w:val="single" w:sz="4" w:space="1" w:color="auto"/>
        </w:pBdr>
        <w:tabs>
          <w:tab w:val="left" w:pos="567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14A1" w:rsidRDefault="00AC258F" w:rsidP="00AC258F">
      <w:pPr>
        <w:pBdr>
          <w:bottom w:val="single" w:sz="4" w:space="1" w:color="auto"/>
        </w:pBdr>
        <w:tabs>
          <w:tab w:val="left" w:pos="567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C258F" w:rsidRDefault="00AC258F" w:rsidP="00AC258F">
      <w:pPr>
        <w:pBdr>
          <w:bottom w:val="single" w:sz="4" w:space="1" w:color="auto"/>
        </w:pBdr>
        <w:tabs>
          <w:tab w:val="left" w:pos="567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14A1" w:rsidRDefault="001614A1" w:rsidP="001614A1">
      <w:pPr>
        <w:pBdr>
          <w:bottom w:val="single" w:sz="4" w:space="1" w:color="auto"/>
        </w:pBdr>
        <w:rPr>
          <w:sz w:val="20"/>
        </w:rPr>
      </w:pPr>
    </w:p>
    <w:p w:rsidR="001614A1" w:rsidRDefault="001614A1" w:rsidP="001614A1"/>
    <w:p w:rsidR="001614A1" w:rsidRDefault="001614A1" w:rsidP="001614A1">
      <w:pPr>
        <w:tabs>
          <w:tab w:val="left" w:pos="1276"/>
        </w:tabs>
        <w:rPr>
          <w:sz w:val="16"/>
        </w:rPr>
      </w:pPr>
      <w:r>
        <w:rPr>
          <w:sz w:val="16"/>
        </w:rPr>
        <w:t xml:space="preserve">Eigentümer: </w:t>
      </w:r>
      <w:r>
        <w:rPr>
          <w:sz w:val="16"/>
        </w:rPr>
        <w:fldChar w:fldCharType="begin">
          <w:ffData>
            <w:name w:val="Text3"/>
            <w:enabled/>
            <w:calcOnExit w:val="0"/>
            <w:textInput/>
          </w:ffData>
        </w:fldChar>
      </w:r>
      <w:bookmarkStart w:id="2" w:name="Text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p w:rsidR="001614A1" w:rsidRDefault="001614A1" w:rsidP="001614A1">
      <w:pPr>
        <w:rPr>
          <w:sz w:val="16"/>
        </w:rPr>
      </w:pPr>
    </w:p>
    <w:p w:rsidR="001614A1" w:rsidRDefault="001614A1" w:rsidP="001614A1">
      <w:pPr>
        <w:tabs>
          <w:tab w:val="left" w:pos="1276"/>
        </w:tabs>
        <w:rPr>
          <w:sz w:val="16"/>
        </w:rPr>
      </w:pPr>
      <w:r>
        <w:rPr>
          <w:sz w:val="16"/>
        </w:rPr>
        <w:t xml:space="preserve">Liegenschaft: </w:t>
      </w:r>
      <w:r>
        <w:rPr>
          <w:sz w:val="16"/>
        </w:rPr>
        <w:fldChar w:fldCharType="begin">
          <w:ffData>
            <w:name w:val="Text4"/>
            <w:enabled/>
            <w:calcOnExit w:val="0"/>
            <w:textInput/>
          </w:ffData>
        </w:fldChar>
      </w:r>
      <w:bookmarkStart w:id="3" w:name="Text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
    </w:p>
    <w:p w:rsidR="001614A1" w:rsidRDefault="001614A1" w:rsidP="001614A1">
      <w:pPr>
        <w:rPr>
          <w:sz w:val="16"/>
        </w:rPr>
      </w:pPr>
    </w:p>
    <w:p w:rsidR="001614A1" w:rsidRDefault="001614A1" w:rsidP="001614A1">
      <w:pPr>
        <w:pStyle w:val="Textkrper"/>
        <w:tabs>
          <w:tab w:val="decimal" w:pos="3402"/>
          <w:tab w:val="left" w:pos="5670"/>
        </w:tabs>
        <w:rPr>
          <w:sz w:val="16"/>
        </w:rPr>
      </w:pPr>
      <w:r>
        <w:rPr>
          <w:sz w:val="16"/>
        </w:rPr>
        <w:t>Mietobjekt:</w:t>
      </w:r>
      <w:r w:rsidR="00113AA6">
        <w:rPr>
          <w:sz w:val="16"/>
        </w:rPr>
        <w:t xml:space="preserve"> </w:t>
      </w:r>
      <w:r>
        <w:rPr>
          <w:sz w:val="16"/>
        </w:rPr>
        <w:fldChar w:fldCharType="begin">
          <w:ffData>
            <w:name w:val="Text5"/>
            <w:enabled/>
            <w:calcOnExit w:val="0"/>
            <w:textInput/>
          </w:ffData>
        </w:fldChar>
      </w:r>
      <w:bookmarkStart w:id="4"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r>
        <w:rPr>
          <w:sz w:val="16"/>
        </w:rPr>
        <w:tab/>
      </w:r>
      <w:r>
        <w:rPr>
          <w:sz w:val="16"/>
        </w:rPr>
        <w:tab/>
        <w:t xml:space="preserve">Wohneinheit: </w:t>
      </w:r>
      <w:r>
        <w:rPr>
          <w:sz w:val="16"/>
        </w:rPr>
        <w:fldChar w:fldCharType="begin">
          <w:ffData>
            <w:name w:val="Text6"/>
            <w:enabled/>
            <w:calcOnExit w:val="0"/>
            <w:textInput/>
          </w:ffData>
        </w:fldChar>
      </w:r>
      <w:bookmarkStart w:id="5" w:name="Text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
    </w:p>
    <w:p w:rsidR="001614A1" w:rsidRDefault="001614A1" w:rsidP="001614A1">
      <w:pPr>
        <w:rPr>
          <w:sz w:val="16"/>
        </w:rPr>
      </w:pPr>
    </w:p>
    <w:p w:rsidR="001614A1" w:rsidRDefault="001614A1" w:rsidP="001614A1">
      <w:pPr>
        <w:tabs>
          <w:tab w:val="left" w:pos="2977"/>
        </w:tabs>
        <w:rPr>
          <w:sz w:val="16"/>
        </w:rPr>
      </w:pPr>
      <w:r>
        <w:rPr>
          <w:sz w:val="16"/>
        </w:rPr>
        <w:t>Die Mietzinsveränderungen und anderen einseitigen</w:t>
      </w:r>
    </w:p>
    <w:p w:rsidR="001614A1" w:rsidRDefault="001614A1" w:rsidP="001614A1">
      <w:pPr>
        <w:tabs>
          <w:tab w:val="left" w:pos="2977"/>
        </w:tabs>
        <w:rPr>
          <w:b/>
          <w:sz w:val="16"/>
        </w:rPr>
      </w:pPr>
      <w:r>
        <w:rPr>
          <w:sz w:val="16"/>
        </w:rPr>
        <w:t xml:space="preserve">Vertragsänderungen treten in Kraft ab: </w:t>
      </w:r>
      <w:r>
        <w:rPr>
          <w:sz w:val="16"/>
        </w:rPr>
        <w:fldChar w:fldCharType="begin">
          <w:ffData>
            <w:name w:val="Text7"/>
            <w:enabled/>
            <w:calcOnExit w:val="0"/>
            <w:textInput/>
          </w:ffData>
        </w:fldChar>
      </w:r>
      <w:bookmarkStart w:id="6"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
    </w:p>
    <w:p w:rsidR="001614A1" w:rsidRDefault="001614A1" w:rsidP="001614A1">
      <w:pPr>
        <w:pBdr>
          <w:bottom w:val="single" w:sz="4" w:space="1" w:color="auto"/>
        </w:pBdr>
        <w:rPr>
          <w:sz w:val="16"/>
        </w:rPr>
      </w:pPr>
    </w:p>
    <w:p w:rsidR="001614A1" w:rsidRDefault="001614A1" w:rsidP="001614A1">
      <w:pPr>
        <w:jc w:val="right"/>
        <w:rPr>
          <w:sz w:val="16"/>
        </w:rPr>
      </w:pPr>
    </w:p>
    <w:p w:rsidR="001614A1" w:rsidRDefault="001614A1" w:rsidP="001614A1">
      <w:pPr>
        <w:pStyle w:val="Textkrper"/>
        <w:jc w:val="both"/>
        <w:rPr>
          <w:sz w:val="16"/>
        </w:rPr>
      </w:pPr>
      <w:r>
        <w:rPr>
          <w:sz w:val="16"/>
        </w:rPr>
        <w:t>Gestützt auf Art. 269b-d des Schweizerischen Obligationenrechts gebe(n) ich (wir) Ihnen folgende Mietzinsveränderung und/oder andere einseitige Vertragsänderungen bekannt:</w:t>
      </w:r>
    </w:p>
    <w:p w:rsidR="001614A1" w:rsidRDefault="001614A1" w:rsidP="001614A1">
      <w:pPr>
        <w:rPr>
          <w:sz w:val="16"/>
        </w:rPr>
      </w:pPr>
    </w:p>
    <w:p w:rsidR="001614A1" w:rsidRDefault="001614A1" w:rsidP="001614A1">
      <w:pPr>
        <w:tabs>
          <w:tab w:val="left" w:pos="426"/>
          <w:tab w:val="left" w:pos="6521"/>
          <w:tab w:val="left" w:pos="8789"/>
        </w:tabs>
        <w:rPr>
          <w:b/>
          <w:sz w:val="18"/>
        </w:rPr>
      </w:pPr>
      <w:r>
        <w:rPr>
          <w:b/>
          <w:sz w:val="18"/>
        </w:rPr>
        <w:t>A.</w:t>
      </w:r>
      <w:r>
        <w:rPr>
          <w:b/>
          <w:sz w:val="18"/>
        </w:rPr>
        <w:tab/>
        <w:t>Mietzins:</w:t>
      </w:r>
      <w:r>
        <w:rPr>
          <w:b/>
          <w:sz w:val="18"/>
        </w:rPr>
        <w:tab/>
        <w:t>Bisher:</w:t>
      </w:r>
      <w:r>
        <w:rPr>
          <w:b/>
          <w:sz w:val="18"/>
        </w:rPr>
        <w:tab/>
        <w:t>Neu:</w:t>
      </w:r>
    </w:p>
    <w:p w:rsidR="001614A1" w:rsidRDefault="001614A1" w:rsidP="001614A1">
      <w:pPr>
        <w:tabs>
          <w:tab w:val="left" w:pos="426"/>
          <w:tab w:val="left" w:pos="4536"/>
          <w:tab w:val="left" w:pos="6521"/>
          <w:tab w:val="left" w:pos="8789"/>
        </w:tabs>
        <w:rPr>
          <w:b/>
          <w:sz w:val="16"/>
        </w:rPr>
      </w:pPr>
    </w:p>
    <w:p w:rsidR="001614A1" w:rsidRDefault="001614A1" w:rsidP="001614A1">
      <w:pPr>
        <w:pStyle w:val="Textkrper"/>
        <w:tabs>
          <w:tab w:val="left" w:pos="426"/>
          <w:tab w:val="left" w:pos="6521"/>
          <w:tab w:val="left" w:pos="8789"/>
          <w:tab w:val="decimal" w:pos="10206"/>
        </w:tabs>
        <w:rPr>
          <w:sz w:val="16"/>
        </w:rPr>
      </w:pPr>
      <w:r>
        <w:rPr>
          <w:sz w:val="16"/>
        </w:rPr>
        <w:tab/>
        <w:t>Nettomietzins</w:t>
      </w:r>
      <w:r>
        <w:rPr>
          <w:sz w:val="16"/>
        </w:rPr>
        <w:tab/>
        <w:t xml:space="preserve">Fr.  </w:t>
      </w:r>
      <w:bookmarkStart w:id="7" w:name="Text8"/>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sidR="00113AA6">
        <w:rPr>
          <w:sz w:val="16"/>
        </w:rPr>
        <w:t> </w:t>
      </w:r>
      <w:r w:rsidR="00113AA6">
        <w:rPr>
          <w:sz w:val="16"/>
        </w:rPr>
        <w:t> </w:t>
      </w:r>
      <w:r w:rsidR="00113AA6">
        <w:rPr>
          <w:sz w:val="16"/>
        </w:rPr>
        <w:t> </w:t>
      </w:r>
      <w:r w:rsidR="00113AA6">
        <w:rPr>
          <w:sz w:val="16"/>
        </w:rPr>
        <w:t> </w:t>
      </w:r>
      <w:r w:rsidR="00113AA6">
        <w:rPr>
          <w:sz w:val="16"/>
        </w:rPr>
        <w:t> </w:t>
      </w:r>
      <w:r>
        <w:rPr>
          <w:sz w:val="16"/>
        </w:rPr>
        <w:fldChar w:fldCharType="end"/>
      </w:r>
      <w:bookmarkEnd w:id="7"/>
      <w:r>
        <w:rPr>
          <w:sz w:val="16"/>
        </w:rPr>
        <w:tab/>
        <w:t xml:space="preserve">Fr.  </w:t>
      </w:r>
      <w:bookmarkStart w:id="8" w:name="Text9"/>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
    </w:p>
    <w:p w:rsidR="001614A1" w:rsidRDefault="001614A1" w:rsidP="001614A1">
      <w:pPr>
        <w:pStyle w:val="Textkrper"/>
        <w:tabs>
          <w:tab w:val="left" w:pos="426"/>
          <w:tab w:val="left" w:pos="4962"/>
          <w:tab w:val="left" w:pos="7088"/>
          <w:tab w:val="decimal" w:pos="8505"/>
        </w:tabs>
        <w:rPr>
          <w:sz w:val="16"/>
        </w:rPr>
      </w:pPr>
    </w:p>
    <w:p w:rsidR="001614A1" w:rsidRPr="003B4DBD" w:rsidRDefault="001614A1" w:rsidP="001614A1">
      <w:pPr>
        <w:pStyle w:val="Textkrper"/>
        <w:tabs>
          <w:tab w:val="left" w:pos="426"/>
          <w:tab w:val="left" w:pos="4962"/>
          <w:tab w:val="left" w:pos="7088"/>
          <w:tab w:val="decimal" w:pos="8505"/>
        </w:tabs>
        <w:rPr>
          <w:b/>
          <w:sz w:val="16"/>
          <w:szCs w:val="16"/>
        </w:rPr>
      </w:pPr>
      <w:r w:rsidRPr="003B4DBD">
        <w:rPr>
          <w:sz w:val="16"/>
          <w:szCs w:val="16"/>
        </w:rPr>
        <w:tab/>
      </w:r>
      <w:r w:rsidRPr="003B4DBD">
        <w:rPr>
          <w:b/>
          <w:sz w:val="16"/>
          <w:szCs w:val="16"/>
        </w:rPr>
        <w:t>Nebenkosten:</w:t>
      </w:r>
    </w:p>
    <w:p w:rsidR="001614A1" w:rsidRDefault="001614A1" w:rsidP="001614A1">
      <w:pPr>
        <w:pStyle w:val="Textkrper"/>
        <w:tabs>
          <w:tab w:val="left" w:pos="426"/>
          <w:tab w:val="left" w:pos="2410"/>
          <w:tab w:val="left" w:pos="3402"/>
          <w:tab w:val="left" w:pos="4536"/>
          <w:tab w:val="left" w:pos="5387"/>
          <w:tab w:val="left" w:pos="6521"/>
          <w:tab w:val="left" w:pos="8789"/>
          <w:tab w:val="decimal" w:pos="10206"/>
        </w:tabs>
        <w:spacing w:before="40"/>
        <w:rPr>
          <w:sz w:val="16"/>
        </w:rPr>
      </w:pPr>
      <w:r>
        <w:rPr>
          <w:sz w:val="16"/>
        </w:rPr>
        <w:tab/>
        <w:t>Heizkosten</w:t>
      </w:r>
      <w:r>
        <w:rPr>
          <w:sz w:val="16"/>
        </w:rPr>
        <w:tab/>
      </w:r>
      <w:bookmarkStart w:id="9" w:name="Kontrollkästchen1"/>
      <w:r>
        <w:rPr>
          <w:sz w:val="16"/>
        </w:rPr>
        <w:fldChar w:fldCharType="begin">
          <w:ffData>
            <w:name w:val="Kontrollkästchen1"/>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9"/>
      <w:r>
        <w:rPr>
          <w:sz w:val="16"/>
        </w:rPr>
        <w:t xml:space="preserve"> </w:t>
      </w:r>
      <w:proofErr w:type="spellStart"/>
      <w:r>
        <w:rPr>
          <w:sz w:val="14"/>
        </w:rPr>
        <w:t>akonto</w:t>
      </w:r>
      <w:proofErr w:type="spellEnd"/>
      <w:r>
        <w:rPr>
          <w:sz w:val="16"/>
        </w:rPr>
        <w:tab/>
      </w:r>
      <w:bookmarkStart w:id="10" w:name="Kontrollkästchen22"/>
      <w:r>
        <w:rPr>
          <w:sz w:val="16"/>
        </w:rPr>
        <w:fldChar w:fldCharType="begin">
          <w:ffData>
            <w:name w:val="Kontrollkästchen22"/>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10"/>
      <w:r>
        <w:rPr>
          <w:sz w:val="16"/>
        </w:rPr>
        <w:t xml:space="preserve"> </w:t>
      </w:r>
      <w:r>
        <w:rPr>
          <w:sz w:val="14"/>
        </w:rPr>
        <w:t>pauschal</w:t>
      </w:r>
      <w:r>
        <w:rPr>
          <w:sz w:val="16"/>
        </w:rPr>
        <w:tab/>
      </w:r>
      <w:bookmarkStart w:id="11" w:name="Kontrollkästchen23"/>
      <w:r>
        <w:rPr>
          <w:sz w:val="16"/>
        </w:rPr>
        <w:fldChar w:fldCharType="begin">
          <w:ffData>
            <w:name w:val="Kontrollkästchen23"/>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11"/>
      <w:r>
        <w:rPr>
          <w:sz w:val="16"/>
        </w:rPr>
        <w:t xml:space="preserve"> </w:t>
      </w:r>
      <w:r>
        <w:rPr>
          <w:sz w:val="14"/>
        </w:rPr>
        <w:t>inkl.</w:t>
      </w:r>
      <w:r>
        <w:rPr>
          <w:sz w:val="16"/>
        </w:rPr>
        <w:tab/>
      </w:r>
      <w:bookmarkStart w:id="12" w:name="Kontrollkästchen34"/>
      <w:r>
        <w:rPr>
          <w:sz w:val="16"/>
        </w:rPr>
        <w:fldChar w:fldCharType="begin">
          <w:ffData>
            <w:name w:val="Kontrollkästchen34"/>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12"/>
      <w:r>
        <w:rPr>
          <w:sz w:val="16"/>
        </w:rPr>
        <w:t xml:space="preserve"> </w:t>
      </w:r>
      <w:r>
        <w:rPr>
          <w:sz w:val="14"/>
        </w:rPr>
        <w:t>exkl.</w:t>
      </w:r>
      <w:r>
        <w:rPr>
          <w:sz w:val="16"/>
        </w:rPr>
        <w:tab/>
        <w:t xml:space="preserve">Fr.  </w:t>
      </w:r>
      <w:bookmarkStart w:id="13" w:name="Text31"/>
      <w:r>
        <w:rPr>
          <w:sz w:val="16"/>
        </w:rPr>
        <w:fldChar w:fldCharType="begin">
          <w:ffData>
            <w:name w:val="Text3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r>
        <w:rPr>
          <w:sz w:val="16"/>
        </w:rPr>
        <w:tab/>
        <w:t xml:space="preserve">Fr.  </w:t>
      </w:r>
      <w:bookmarkStart w:id="14" w:name="Text10"/>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p w:rsidR="001614A1" w:rsidRDefault="001614A1" w:rsidP="001614A1">
      <w:pPr>
        <w:pStyle w:val="Textkrper"/>
        <w:tabs>
          <w:tab w:val="left" w:pos="426"/>
          <w:tab w:val="left" w:pos="2410"/>
          <w:tab w:val="left" w:pos="3402"/>
          <w:tab w:val="left" w:pos="4536"/>
          <w:tab w:val="left" w:pos="5387"/>
          <w:tab w:val="left" w:pos="6521"/>
          <w:tab w:val="left" w:pos="8789"/>
          <w:tab w:val="decimal" w:pos="10206"/>
        </w:tabs>
        <w:spacing w:before="40"/>
        <w:rPr>
          <w:sz w:val="16"/>
        </w:rPr>
      </w:pPr>
      <w:r>
        <w:rPr>
          <w:sz w:val="16"/>
        </w:rPr>
        <w:tab/>
        <w:t>Warmwasser</w:t>
      </w:r>
      <w:r>
        <w:rPr>
          <w:sz w:val="16"/>
        </w:rPr>
        <w:tab/>
      </w:r>
      <w:bookmarkStart w:id="15" w:name="Kontrollkästchen2"/>
      <w:r>
        <w:rPr>
          <w:sz w:val="16"/>
        </w:rPr>
        <w:fldChar w:fldCharType="begin">
          <w:ffData>
            <w:name w:val="Kontrollkästchen2"/>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15"/>
      <w:r>
        <w:rPr>
          <w:sz w:val="16"/>
        </w:rPr>
        <w:t xml:space="preserve"> </w:t>
      </w:r>
      <w:proofErr w:type="spellStart"/>
      <w:r>
        <w:rPr>
          <w:sz w:val="14"/>
        </w:rPr>
        <w:t>akonto</w:t>
      </w:r>
      <w:proofErr w:type="spellEnd"/>
      <w:r>
        <w:rPr>
          <w:sz w:val="16"/>
        </w:rPr>
        <w:tab/>
      </w:r>
      <w:bookmarkStart w:id="16" w:name="Kontrollkästchen21"/>
      <w:r>
        <w:rPr>
          <w:sz w:val="16"/>
        </w:rPr>
        <w:fldChar w:fldCharType="begin">
          <w:ffData>
            <w:name w:val="Kontrollkästchen21"/>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16"/>
      <w:r>
        <w:t xml:space="preserve"> </w:t>
      </w:r>
      <w:r>
        <w:rPr>
          <w:sz w:val="14"/>
        </w:rPr>
        <w:t>pauschal</w:t>
      </w:r>
      <w:r>
        <w:rPr>
          <w:sz w:val="16"/>
        </w:rPr>
        <w:tab/>
      </w:r>
      <w:bookmarkStart w:id="17" w:name="Kontrollkästchen24"/>
      <w:r>
        <w:rPr>
          <w:sz w:val="16"/>
        </w:rPr>
        <w:fldChar w:fldCharType="begin">
          <w:ffData>
            <w:name w:val="Kontrollkästchen24"/>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17"/>
      <w:r>
        <w:rPr>
          <w:sz w:val="16"/>
        </w:rPr>
        <w:t xml:space="preserve"> </w:t>
      </w:r>
      <w:r>
        <w:rPr>
          <w:sz w:val="14"/>
        </w:rPr>
        <w:t>inkl.</w:t>
      </w:r>
      <w:r>
        <w:rPr>
          <w:sz w:val="16"/>
        </w:rPr>
        <w:tab/>
      </w:r>
      <w:bookmarkStart w:id="18" w:name="Kontrollkästchen35"/>
      <w:r>
        <w:rPr>
          <w:sz w:val="16"/>
        </w:rPr>
        <w:fldChar w:fldCharType="begin">
          <w:ffData>
            <w:name w:val="Kontrollkästchen35"/>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18"/>
      <w:r>
        <w:t xml:space="preserve"> </w:t>
      </w:r>
      <w:r>
        <w:rPr>
          <w:sz w:val="14"/>
        </w:rPr>
        <w:t>exkl.</w:t>
      </w:r>
      <w:r>
        <w:rPr>
          <w:sz w:val="16"/>
        </w:rPr>
        <w:tab/>
        <w:t xml:space="preserve">Fr.  </w:t>
      </w:r>
      <w:bookmarkStart w:id="19" w:name="Text30"/>
      <w:r>
        <w:rPr>
          <w:sz w:val="16"/>
        </w:rPr>
        <w:fldChar w:fldCharType="begin">
          <w:ffData>
            <w:name w:val="Text3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r>
        <w:rPr>
          <w:sz w:val="16"/>
        </w:rPr>
        <w:tab/>
        <w:t xml:space="preserve">Fr.  </w:t>
      </w:r>
      <w:bookmarkStart w:id="20" w:name="Text12"/>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p w:rsidR="001614A1" w:rsidRDefault="001614A1" w:rsidP="001614A1">
      <w:pPr>
        <w:pStyle w:val="Textkrper"/>
        <w:tabs>
          <w:tab w:val="left" w:pos="426"/>
          <w:tab w:val="left" w:pos="2410"/>
          <w:tab w:val="left" w:pos="3402"/>
          <w:tab w:val="left" w:pos="4536"/>
          <w:tab w:val="left" w:pos="5387"/>
          <w:tab w:val="left" w:pos="6521"/>
          <w:tab w:val="left" w:pos="8789"/>
          <w:tab w:val="decimal" w:pos="10206"/>
        </w:tabs>
        <w:spacing w:before="50"/>
        <w:rPr>
          <w:sz w:val="16"/>
        </w:rPr>
      </w:pPr>
      <w:r>
        <w:rPr>
          <w:sz w:val="16"/>
        </w:rPr>
        <w:tab/>
        <w:t>Frischwasser</w:t>
      </w:r>
      <w:r>
        <w:rPr>
          <w:sz w:val="16"/>
        </w:rPr>
        <w:tab/>
      </w:r>
      <w:bookmarkStart w:id="21" w:name="Kontrollkästchen3"/>
      <w:r>
        <w:rPr>
          <w:sz w:val="16"/>
        </w:rPr>
        <w:fldChar w:fldCharType="begin">
          <w:ffData>
            <w:name w:val="Kontrollkästchen3"/>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21"/>
      <w:r>
        <w:rPr>
          <w:sz w:val="16"/>
        </w:rPr>
        <w:t xml:space="preserve"> </w:t>
      </w:r>
      <w:proofErr w:type="spellStart"/>
      <w:r w:rsidRPr="00113AA6">
        <w:rPr>
          <w:sz w:val="14"/>
        </w:rPr>
        <w:t>akonto</w:t>
      </w:r>
      <w:proofErr w:type="spellEnd"/>
      <w:r>
        <w:rPr>
          <w:sz w:val="16"/>
        </w:rPr>
        <w:tab/>
      </w:r>
      <w:bookmarkStart w:id="22" w:name="Kontrollkästchen20"/>
      <w:r>
        <w:rPr>
          <w:sz w:val="16"/>
        </w:rPr>
        <w:fldChar w:fldCharType="begin">
          <w:ffData>
            <w:name w:val="Kontrollkästchen20"/>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22"/>
      <w:r>
        <w:rPr>
          <w:sz w:val="16"/>
        </w:rPr>
        <w:t xml:space="preserve"> </w:t>
      </w:r>
      <w:r w:rsidRPr="00113AA6">
        <w:rPr>
          <w:sz w:val="14"/>
        </w:rPr>
        <w:t>pauschal</w:t>
      </w:r>
      <w:r>
        <w:rPr>
          <w:sz w:val="16"/>
        </w:rPr>
        <w:tab/>
      </w:r>
      <w:bookmarkStart w:id="23" w:name="Kontrollkästchen25"/>
      <w:r>
        <w:rPr>
          <w:sz w:val="16"/>
        </w:rPr>
        <w:fldChar w:fldCharType="begin">
          <w:ffData>
            <w:name w:val="Kontrollkästchen25"/>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23"/>
      <w:r>
        <w:rPr>
          <w:sz w:val="16"/>
        </w:rPr>
        <w:t xml:space="preserve"> </w:t>
      </w:r>
      <w:r w:rsidRPr="00113AA6">
        <w:rPr>
          <w:sz w:val="14"/>
        </w:rPr>
        <w:t>inkl.</w:t>
      </w:r>
      <w:r>
        <w:rPr>
          <w:sz w:val="16"/>
        </w:rPr>
        <w:tab/>
      </w:r>
      <w:bookmarkStart w:id="24" w:name="Kontrollkästchen36"/>
      <w:r>
        <w:rPr>
          <w:sz w:val="16"/>
        </w:rPr>
        <w:fldChar w:fldCharType="begin">
          <w:ffData>
            <w:name w:val="Kontrollkästchen36"/>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24"/>
      <w:r>
        <w:rPr>
          <w:sz w:val="16"/>
        </w:rPr>
        <w:t xml:space="preserve"> </w:t>
      </w:r>
      <w:r w:rsidRPr="00113AA6">
        <w:rPr>
          <w:sz w:val="14"/>
        </w:rPr>
        <w:t>exkl.</w:t>
      </w:r>
      <w:r>
        <w:rPr>
          <w:sz w:val="16"/>
        </w:rPr>
        <w:tab/>
        <w:t xml:space="preserve">Fr.  </w:t>
      </w:r>
      <w:bookmarkStart w:id="25" w:name="Text29"/>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25"/>
      <w:r>
        <w:rPr>
          <w:sz w:val="16"/>
        </w:rPr>
        <w:tab/>
        <w:t xml:space="preserve">Fr.  </w:t>
      </w:r>
      <w:bookmarkStart w:id="26" w:name="Text11"/>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26"/>
    </w:p>
    <w:p w:rsidR="001614A1" w:rsidRDefault="001614A1" w:rsidP="001614A1">
      <w:pPr>
        <w:pStyle w:val="Textkrper"/>
        <w:tabs>
          <w:tab w:val="left" w:pos="426"/>
          <w:tab w:val="left" w:pos="2410"/>
          <w:tab w:val="left" w:pos="3402"/>
          <w:tab w:val="left" w:pos="4536"/>
          <w:tab w:val="left" w:pos="5387"/>
          <w:tab w:val="left" w:pos="6521"/>
          <w:tab w:val="left" w:pos="8789"/>
          <w:tab w:val="decimal" w:pos="10206"/>
        </w:tabs>
        <w:spacing w:before="40"/>
        <w:rPr>
          <w:sz w:val="16"/>
        </w:rPr>
      </w:pPr>
      <w:r>
        <w:rPr>
          <w:sz w:val="16"/>
        </w:rPr>
        <w:tab/>
        <w:t>Abwasser</w:t>
      </w:r>
      <w:r>
        <w:rPr>
          <w:sz w:val="16"/>
        </w:rPr>
        <w:tab/>
      </w:r>
      <w:bookmarkStart w:id="27" w:name="Kontrollkästchen4"/>
      <w:r>
        <w:rPr>
          <w:sz w:val="16"/>
        </w:rPr>
        <w:fldChar w:fldCharType="begin">
          <w:ffData>
            <w:name w:val="Kontrollkästchen4"/>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27"/>
      <w:r>
        <w:rPr>
          <w:sz w:val="16"/>
        </w:rPr>
        <w:t xml:space="preserve"> </w:t>
      </w:r>
      <w:proofErr w:type="spellStart"/>
      <w:r w:rsidRPr="00113AA6">
        <w:rPr>
          <w:sz w:val="14"/>
        </w:rPr>
        <w:t>akonto</w:t>
      </w:r>
      <w:proofErr w:type="spellEnd"/>
      <w:r>
        <w:rPr>
          <w:sz w:val="16"/>
        </w:rPr>
        <w:tab/>
      </w:r>
      <w:bookmarkStart w:id="28" w:name="Kontrollkästchen18"/>
      <w:r>
        <w:rPr>
          <w:sz w:val="16"/>
        </w:rPr>
        <w:fldChar w:fldCharType="begin">
          <w:ffData>
            <w:name w:val="Kontrollkästchen18"/>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28"/>
      <w:r>
        <w:rPr>
          <w:sz w:val="16"/>
        </w:rPr>
        <w:t xml:space="preserve"> </w:t>
      </w:r>
      <w:r w:rsidRPr="00113AA6">
        <w:rPr>
          <w:sz w:val="14"/>
        </w:rPr>
        <w:t>pauschal</w:t>
      </w:r>
      <w:r>
        <w:rPr>
          <w:sz w:val="16"/>
        </w:rPr>
        <w:tab/>
      </w:r>
      <w:bookmarkStart w:id="29" w:name="Kontrollkästchen26"/>
      <w:r>
        <w:rPr>
          <w:sz w:val="16"/>
        </w:rPr>
        <w:fldChar w:fldCharType="begin">
          <w:ffData>
            <w:name w:val="Kontrollkästchen26"/>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29"/>
      <w:r>
        <w:rPr>
          <w:sz w:val="16"/>
        </w:rPr>
        <w:t xml:space="preserve"> </w:t>
      </w:r>
      <w:r w:rsidRPr="00113AA6">
        <w:rPr>
          <w:sz w:val="14"/>
        </w:rPr>
        <w:t>inkl.</w:t>
      </w:r>
      <w:r>
        <w:rPr>
          <w:sz w:val="16"/>
        </w:rPr>
        <w:tab/>
      </w:r>
      <w:bookmarkStart w:id="30" w:name="Kontrollkästchen37"/>
      <w:r>
        <w:rPr>
          <w:sz w:val="16"/>
        </w:rPr>
        <w:fldChar w:fldCharType="begin">
          <w:ffData>
            <w:name w:val="Kontrollkästchen37"/>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30"/>
      <w:r>
        <w:rPr>
          <w:sz w:val="16"/>
        </w:rPr>
        <w:t xml:space="preserve"> </w:t>
      </w:r>
      <w:r w:rsidRPr="00113AA6">
        <w:rPr>
          <w:sz w:val="14"/>
        </w:rPr>
        <w:t>exkl.</w:t>
      </w:r>
      <w:r>
        <w:rPr>
          <w:sz w:val="16"/>
        </w:rPr>
        <w:tab/>
        <w:t xml:space="preserve">Fr.  </w:t>
      </w:r>
      <w:bookmarkStart w:id="31" w:name="Text28"/>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31"/>
      <w:r>
        <w:rPr>
          <w:sz w:val="16"/>
        </w:rPr>
        <w:tab/>
        <w:t xml:space="preserve">Fr.  </w:t>
      </w:r>
      <w:bookmarkStart w:id="32" w:name="Text14"/>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32"/>
    </w:p>
    <w:p w:rsidR="001614A1" w:rsidRDefault="001614A1" w:rsidP="001614A1">
      <w:pPr>
        <w:pStyle w:val="Textkrper"/>
        <w:tabs>
          <w:tab w:val="left" w:pos="426"/>
          <w:tab w:val="left" w:pos="2410"/>
          <w:tab w:val="left" w:pos="3402"/>
          <w:tab w:val="left" w:pos="4536"/>
          <w:tab w:val="left" w:pos="5387"/>
          <w:tab w:val="left" w:pos="6521"/>
          <w:tab w:val="left" w:pos="8789"/>
          <w:tab w:val="decimal" w:pos="10206"/>
        </w:tabs>
        <w:spacing w:before="40"/>
        <w:rPr>
          <w:sz w:val="16"/>
        </w:rPr>
      </w:pPr>
      <w:r>
        <w:rPr>
          <w:sz w:val="16"/>
        </w:rPr>
        <w:tab/>
        <w:t>Separatsammlungen</w:t>
      </w:r>
      <w:r>
        <w:rPr>
          <w:sz w:val="16"/>
        </w:rPr>
        <w:tab/>
      </w:r>
      <w:bookmarkStart w:id="33" w:name="Kontrollkästchen5"/>
      <w:r>
        <w:rPr>
          <w:sz w:val="16"/>
        </w:rPr>
        <w:fldChar w:fldCharType="begin">
          <w:ffData>
            <w:name w:val="Kontrollkästchen5"/>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33"/>
      <w:r>
        <w:rPr>
          <w:sz w:val="16"/>
        </w:rPr>
        <w:t xml:space="preserve"> </w:t>
      </w:r>
      <w:proofErr w:type="spellStart"/>
      <w:r>
        <w:rPr>
          <w:sz w:val="14"/>
        </w:rPr>
        <w:t>akonto</w:t>
      </w:r>
      <w:proofErr w:type="spellEnd"/>
      <w:r>
        <w:rPr>
          <w:sz w:val="16"/>
        </w:rPr>
        <w:tab/>
      </w:r>
      <w:bookmarkStart w:id="34" w:name="Kontrollkästchen19"/>
      <w:r>
        <w:rPr>
          <w:sz w:val="16"/>
        </w:rPr>
        <w:fldChar w:fldCharType="begin">
          <w:ffData>
            <w:name w:val="Kontrollkästchen19"/>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34"/>
      <w:r>
        <w:rPr>
          <w:sz w:val="16"/>
        </w:rPr>
        <w:t xml:space="preserve"> </w:t>
      </w:r>
      <w:r>
        <w:rPr>
          <w:sz w:val="14"/>
        </w:rPr>
        <w:t>pauschal</w:t>
      </w:r>
      <w:r>
        <w:rPr>
          <w:sz w:val="16"/>
        </w:rPr>
        <w:tab/>
      </w:r>
      <w:bookmarkStart w:id="35" w:name="Kontrollkästchen27"/>
      <w:r>
        <w:rPr>
          <w:sz w:val="16"/>
        </w:rPr>
        <w:fldChar w:fldCharType="begin">
          <w:ffData>
            <w:name w:val="Kontrollkästchen27"/>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35"/>
      <w:r>
        <w:rPr>
          <w:sz w:val="16"/>
        </w:rPr>
        <w:t xml:space="preserve"> </w:t>
      </w:r>
      <w:r>
        <w:rPr>
          <w:sz w:val="14"/>
        </w:rPr>
        <w:t>inkl.</w:t>
      </w:r>
      <w:r>
        <w:rPr>
          <w:sz w:val="16"/>
        </w:rPr>
        <w:tab/>
      </w:r>
      <w:bookmarkStart w:id="36" w:name="Kontrollkästchen38"/>
      <w:r>
        <w:rPr>
          <w:sz w:val="16"/>
        </w:rPr>
        <w:fldChar w:fldCharType="begin">
          <w:ffData>
            <w:name w:val="Kontrollkästchen38"/>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36"/>
      <w:r>
        <w:rPr>
          <w:sz w:val="16"/>
        </w:rPr>
        <w:t xml:space="preserve"> </w:t>
      </w:r>
      <w:r>
        <w:rPr>
          <w:sz w:val="14"/>
        </w:rPr>
        <w:t>exkl.</w:t>
      </w:r>
      <w:r>
        <w:rPr>
          <w:sz w:val="16"/>
        </w:rPr>
        <w:tab/>
        <w:t xml:space="preserve">Fr.  </w:t>
      </w:r>
      <w:bookmarkStart w:id="37" w:name="Text27"/>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r>
        <w:rPr>
          <w:sz w:val="16"/>
        </w:rPr>
        <w:tab/>
        <w:t xml:space="preserve">Fr.  </w:t>
      </w:r>
      <w:bookmarkStart w:id="38" w:name="Text13"/>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8"/>
    </w:p>
    <w:p w:rsidR="001614A1" w:rsidRDefault="001614A1" w:rsidP="001614A1">
      <w:pPr>
        <w:pStyle w:val="Textkrper"/>
        <w:tabs>
          <w:tab w:val="left" w:pos="426"/>
          <w:tab w:val="left" w:pos="2410"/>
          <w:tab w:val="left" w:pos="3402"/>
          <w:tab w:val="left" w:pos="4536"/>
          <w:tab w:val="left" w:pos="5387"/>
          <w:tab w:val="left" w:pos="6521"/>
          <w:tab w:val="left" w:pos="8789"/>
          <w:tab w:val="decimal" w:pos="10206"/>
        </w:tabs>
        <w:spacing w:before="40"/>
        <w:rPr>
          <w:sz w:val="16"/>
        </w:rPr>
      </w:pPr>
      <w:r>
        <w:rPr>
          <w:sz w:val="16"/>
        </w:rPr>
        <w:tab/>
        <w:t>Radio-, TV-Antenne</w:t>
      </w:r>
      <w:r>
        <w:rPr>
          <w:sz w:val="16"/>
        </w:rPr>
        <w:tab/>
      </w:r>
      <w:bookmarkStart w:id="39" w:name="Kontrollkästchen6"/>
      <w:r>
        <w:rPr>
          <w:sz w:val="16"/>
        </w:rPr>
        <w:fldChar w:fldCharType="begin">
          <w:ffData>
            <w:name w:val="Kontrollkästchen6"/>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39"/>
      <w:r>
        <w:rPr>
          <w:sz w:val="16"/>
        </w:rPr>
        <w:t xml:space="preserve"> </w:t>
      </w:r>
      <w:proofErr w:type="spellStart"/>
      <w:r>
        <w:rPr>
          <w:sz w:val="14"/>
        </w:rPr>
        <w:t>akonto</w:t>
      </w:r>
      <w:proofErr w:type="spellEnd"/>
      <w:r>
        <w:rPr>
          <w:sz w:val="16"/>
        </w:rPr>
        <w:tab/>
      </w:r>
      <w:bookmarkStart w:id="40" w:name="Kontrollkästchen17"/>
      <w:r>
        <w:rPr>
          <w:sz w:val="16"/>
        </w:rPr>
        <w:fldChar w:fldCharType="begin">
          <w:ffData>
            <w:name w:val="Kontrollkästchen17"/>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40"/>
      <w:r>
        <w:rPr>
          <w:sz w:val="16"/>
        </w:rPr>
        <w:t xml:space="preserve"> </w:t>
      </w:r>
      <w:r>
        <w:rPr>
          <w:sz w:val="14"/>
        </w:rPr>
        <w:t>pauschal</w:t>
      </w:r>
      <w:r>
        <w:rPr>
          <w:sz w:val="16"/>
        </w:rPr>
        <w:tab/>
      </w:r>
      <w:bookmarkStart w:id="41" w:name="Kontrollkästchen28"/>
      <w:r>
        <w:rPr>
          <w:sz w:val="16"/>
        </w:rPr>
        <w:fldChar w:fldCharType="begin">
          <w:ffData>
            <w:name w:val="Kontrollkästchen28"/>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41"/>
      <w:r>
        <w:rPr>
          <w:sz w:val="16"/>
        </w:rPr>
        <w:t xml:space="preserve"> </w:t>
      </w:r>
      <w:r>
        <w:rPr>
          <w:sz w:val="14"/>
        </w:rPr>
        <w:t>inkl.</w:t>
      </w:r>
      <w:r>
        <w:rPr>
          <w:sz w:val="16"/>
        </w:rPr>
        <w:tab/>
      </w:r>
      <w:bookmarkStart w:id="42" w:name="Kontrollkästchen39"/>
      <w:r>
        <w:rPr>
          <w:sz w:val="16"/>
        </w:rPr>
        <w:fldChar w:fldCharType="begin">
          <w:ffData>
            <w:name w:val="Kontrollkästchen39"/>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42"/>
      <w:r>
        <w:rPr>
          <w:sz w:val="16"/>
        </w:rPr>
        <w:t xml:space="preserve"> </w:t>
      </w:r>
      <w:r>
        <w:rPr>
          <w:sz w:val="14"/>
        </w:rPr>
        <w:t>exkl.</w:t>
      </w:r>
      <w:r>
        <w:rPr>
          <w:sz w:val="16"/>
        </w:rPr>
        <w:tab/>
        <w:t xml:space="preserve">Fr.  </w:t>
      </w:r>
      <w:bookmarkStart w:id="43" w:name="Text26"/>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3"/>
      <w:r>
        <w:rPr>
          <w:sz w:val="16"/>
        </w:rPr>
        <w:tab/>
        <w:t xml:space="preserve">Fr.  </w:t>
      </w:r>
      <w:bookmarkStart w:id="44" w:name="Text15"/>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4"/>
    </w:p>
    <w:p w:rsidR="001614A1" w:rsidRDefault="001614A1" w:rsidP="001614A1">
      <w:pPr>
        <w:pStyle w:val="Textkrper"/>
        <w:tabs>
          <w:tab w:val="left" w:pos="426"/>
          <w:tab w:val="left" w:pos="2410"/>
          <w:tab w:val="left" w:pos="3402"/>
          <w:tab w:val="left" w:pos="4536"/>
          <w:tab w:val="left" w:pos="5387"/>
          <w:tab w:val="left" w:pos="6521"/>
          <w:tab w:val="left" w:pos="8789"/>
          <w:tab w:val="decimal" w:pos="10206"/>
        </w:tabs>
        <w:spacing w:before="40"/>
        <w:rPr>
          <w:sz w:val="16"/>
        </w:rPr>
      </w:pPr>
      <w:r>
        <w:rPr>
          <w:sz w:val="16"/>
        </w:rPr>
        <w:tab/>
        <w:t>Strom allg. Räume</w:t>
      </w:r>
      <w:r>
        <w:rPr>
          <w:sz w:val="16"/>
        </w:rPr>
        <w:tab/>
      </w:r>
      <w:bookmarkStart w:id="45" w:name="Kontrollkästchen7"/>
      <w:r>
        <w:rPr>
          <w:sz w:val="16"/>
        </w:rPr>
        <w:fldChar w:fldCharType="begin">
          <w:ffData>
            <w:name w:val="Kontrollkästchen7"/>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45"/>
      <w:r>
        <w:rPr>
          <w:sz w:val="16"/>
        </w:rPr>
        <w:t xml:space="preserve"> </w:t>
      </w:r>
      <w:proofErr w:type="spellStart"/>
      <w:r>
        <w:rPr>
          <w:sz w:val="14"/>
        </w:rPr>
        <w:t>akonto</w:t>
      </w:r>
      <w:proofErr w:type="spellEnd"/>
      <w:r>
        <w:rPr>
          <w:sz w:val="16"/>
        </w:rPr>
        <w:tab/>
      </w:r>
      <w:bookmarkStart w:id="46" w:name="Kontrollkästchen16"/>
      <w:r>
        <w:rPr>
          <w:sz w:val="16"/>
        </w:rPr>
        <w:fldChar w:fldCharType="begin">
          <w:ffData>
            <w:name w:val="Kontrollkästchen16"/>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46"/>
      <w:r>
        <w:rPr>
          <w:sz w:val="16"/>
        </w:rPr>
        <w:t xml:space="preserve"> p</w:t>
      </w:r>
      <w:r>
        <w:rPr>
          <w:sz w:val="14"/>
        </w:rPr>
        <w:t>auschal</w:t>
      </w:r>
      <w:r>
        <w:rPr>
          <w:sz w:val="16"/>
        </w:rPr>
        <w:tab/>
      </w:r>
      <w:bookmarkStart w:id="47" w:name="Kontrollkästchen29"/>
      <w:r>
        <w:rPr>
          <w:sz w:val="16"/>
        </w:rPr>
        <w:fldChar w:fldCharType="begin">
          <w:ffData>
            <w:name w:val="Kontrollkästchen29"/>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47"/>
      <w:r>
        <w:rPr>
          <w:sz w:val="16"/>
        </w:rPr>
        <w:t xml:space="preserve"> </w:t>
      </w:r>
      <w:r>
        <w:rPr>
          <w:sz w:val="14"/>
        </w:rPr>
        <w:t>inkl.</w:t>
      </w:r>
      <w:r>
        <w:rPr>
          <w:sz w:val="16"/>
        </w:rPr>
        <w:tab/>
      </w:r>
      <w:bookmarkStart w:id="48" w:name="Kontrollkästchen40"/>
      <w:r>
        <w:rPr>
          <w:sz w:val="16"/>
        </w:rPr>
        <w:fldChar w:fldCharType="begin">
          <w:ffData>
            <w:name w:val="Kontrollkästchen40"/>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48"/>
      <w:r>
        <w:rPr>
          <w:sz w:val="16"/>
        </w:rPr>
        <w:t xml:space="preserve"> </w:t>
      </w:r>
      <w:r>
        <w:rPr>
          <w:sz w:val="14"/>
        </w:rPr>
        <w:t>exkl.</w:t>
      </w:r>
      <w:r>
        <w:rPr>
          <w:sz w:val="16"/>
        </w:rPr>
        <w:tab/>
        <w:t xml:space="preserve">Fr.  </w:t>
      </w:r>
      <w:bookmarkStart w:id="49" w:name="Text25"/>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9"/>
      <w:r>
        <w:rPr>
          <w:sz w:val="16"/>
        </w:rPr>
        <w:tab/>
        <w:t xml:space="preserve">Fr.  </w:t>
      </w:r>
      <w:bookmarkStart w:id="50" w:name="Text16"/>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p w:rsidR="001614A1" w:rsidRDefault="001614A1" w:rsidP="001614A1">
      <w:pPr>
        <w:pStyle w:val="Textkrper"/>
        <w:tabs>
          <w:tab w:val="left" w:pos="426"/>
          <w:tab w:val="left" w:pos="2410"/>
          <w:tab w:val="left" w:pos="3402"/>
          <w:tab w:val="left" w:pos="4536"/>
          <w:tab w:val="left" w:pos="5387"/>
          <w:tab w:val="left" w:pos="6521"/>
          <w:tab w:val="left" w:pos="8789"/>
          <w:tab w:val="decimal" w:pos="10206"/>
        </w:tabs>
        <w:spacing w:before="40"/>
        <w:rPr>
          <w:sz w:val="16"/>
        </w:rPr>
      </w:pPr>
      <w:r>
        <w:rPr>
          <w:sz w:val="16"/>
        </w:rPr>
        <w:tab/>
        <w:t>Hauswart</w:t>
      </w:r>
      <w:r>
        <w:rPr>
          <w:sz w:val="16"/>
        </w:rPr>
        <w:tab/>
      </w:r>
      <w:bookmarkStart w:id="51" w:name="Kontrollkästchen8"/>
      <w:r>
        <w:rPr>
          <w:sz w:val="16"/>
        </w:rPr>
        <w:fldChar w:fldCharType="begin">
          <w:ffData>
            <w:name w:val="Kontrollkästchen8"/>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51"/>
      <w:r>
        <w:rPr>
          <w:sz w:val="16"/>
        </w:rPr>
        <w:t xml:space="preserve"> </w:t>
      </w:r>
      <w:proofErr w:type="spellStart"/>
      <w:r>
        <w:rPr>
          <w:sz w:val="14"/>
        </w:rPr>
        <w:t>akonto</w:t>
      </w:r>
      <w:proofErr w:type="spellEnd"/>
      <w:r>
        <w:rPr>
          <w:sz w:val="16"/>
        </w:rPr>
        <w:tab/>
      </w:r>
      <w:bookmarkStart w:id="52" w:name="Kontrollkästchen15"/>
      <w:r>
        <w:rPr>
          <w:sz w:val="16"/>
        </w:rPr>
        <w:fldChar w:fldCharType="begin">
          <w:ffData>
            <w:name w:val="Kontrollkästchen15"/>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52"/>
      <w:r>
        <w:rPr>
          <w:sz w:val="16"/>
        </w:rPr>
        <w:t xml:space="preserve"> </w:t>
      </w:r>
      <w:r>
        <w:rPr>
          <w:sz w:val="14"/>
        </w:rPr>
        <w:t>pauschal</w:t>
      </w:r>
      <w:r>
        <w:rPr>
          <w:sz w:val="16"/>
        </w:rPr>
        <w:tab/>
      </w:r>
      <w:bookmarkStart w:id="53" w:name="Kontrollkästchen30"/>
      <w:r>
        <w:rPr>
          <w:sz w:val="16"/>
        </w:rPr>
        <w:fldChar w:fldCharType="begin">
          <w:ffData>
            <w:name w:val="Kontrollkästchen30"/>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53"/>
      <w:r>
        <w:rPr>
          <w:sz w:val="16"/>
        </w:rPr>
        <w:t xml:space="preserve"> </w:t>
      </w:r>
      <w:r>
        <w:rPr>
          <w:sz w:val="14"/>
        </w:rPr>
        <w:t>inkl.</w:t>
      </w:r>
      <w:r>
        <w:rPr>
          <w:sz w:val="16"/>
        </w:rPr>
        <w:tab/>
      </w:r>
      <w:bookmarkStart w:id="54" w:name="Kontrollkästchen41"/>
      <w:r>
        <w:rPr>
          <w:sz w:val="16"/>
        </w:rPr>
        <w:fldChar w:fldCharType="begin">
          <w:ffData>
            <w:name w:val="Kontrollkästchen41"/>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54"/>
      <w:r>
        <w:rPr>
          <w:sz w:val="16"/>
        </w:rPr>
        <w:t xml:space="preserve"> </w:t>
      </w:r>
      <w:r>
        <w:rPr>
          <w:sz w:val="14"/>
        </w:rPr>
        <w:t>exkl.</w:t>
      </w:r>
      <w:r>
        <w:rPr>
          <w:sz w:val="16"/>
        </w:rPr>
        <w:tab/>
        <w:t xml:space="preserve">Fr.  </w:t>
      </w:r>
      <w:bookmarkStart w:id="55" w:name="Text24"/>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5"/>
      <w:r>
        <w:rPr>
          <w:sz w:val="16"/>
        </w:rPr>
        <w:tab/>
        <w:t xml:space="preserve">Fr.  </w:t>
      </w:r>
      <w:bookmarkStart w:id="56" w:name="Text17"/>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6"/>
    </w:p>
    <w:p w:rsidR="001614A1" w:rsidRDefault="001614A1" w:rsidP="001614A1">
      <w:pPr>
        <w:pStyle w:val="Textkrper"/>
        <w:tabs>
          <w:tab w:val="left" w:pos="426"/>
          <w:tab w:val="left" w:pos="2410"/>
          <w:tab w:val="left" w:pos="3402"/>
          <w:tab w:val="left" w:pos="4536"/>
          <w:tab w:val="left" w:pos="5387"/>
          <w:tab w:val="left" w:pos="6521"/>
          <w:tab w:val="left" w:pos="8789"/>
          <w:tab w:val="decimal" w:pos="10206"/>
        </w:tabs>
        <w:spacing w:before="40"/>
        <w:rPr>
          <w:sz w:val="16"/>
        </w:rPr>
      </w:pPr>
      <w:r>
        <w:rPr>
          <w:sz w:val="16"/>
        </w:rPr>
        <w:tab/>
        <w:t>Lift-Service</w:t>
      </w:r>
      <w:r>
        <w:rPr>
          <w:sz w:val="16"/>
        </w:rPr>
        <w:tab/>
      </w:r>
      <w:bookmarkStart w:id="57" w:name="Kontrollkästchen9"/>
      <w:r>
        <w:rPr>
          <w:sz w:val="16"/>
        </w:rPr>
        <w:fldChar w:fldCharType="begin">
          <w:ffData>
            <w:name w:val="Kontrollkästchen9"/>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57"/>
      <w:r>
        <w:rPr>
          <w:sz w:val="16"/>
        </w:rPr>
        <w:t xml:space="preserve"> </w:t>
      </w:r>
      <w:proofErr w:type="spellStart"/>
      <w:r>
        <w:rPr>
          <w:sz w:val="14"/>
        </w:rPr>
        <w:t>akonto</w:t>
      </w:r>
      <w:proofErr w:type="spellEnd"/>
      <w:r>
        <w:rPr>
          <w:sz w:val="16"/>
        </w:rPr>
        <w:tab/>
      </w:r>
      <w:bookmarkStart w:id="58" w:name="Kontrollkästchen14"/>
      <w:r>
        <w:rPr>
          <w:sz w:val="16"/>
        </w:rPr>
        <w:fldChar w:fldCharType="begin">
          <w:ffData>
            <w:name w:val="Kontrollkästchen14"/>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58"/>
      <w:r>
        <w:rPr>
          <w:sz w:val="16"/>
        </w:rPr>
        <w:t xml:space="preserve"> </w:t>
      </w:r>
      <w:r>
        <w:rPr>
          <w:sz w:val="14"/>
        </w:rPr>
        <w:t>pauschal</w:t>
      </w:r>
      <w:r>
        <w:rPr>
          <w:sz w:val="16"/>
        </w:rPr>
        <w:tab/>
      </w:r>
      <w:bookmarkStart w:id="59" w:name="Kontrollkästchen31"/>
      <w:r>
        <w:rPr>
          <w:sz w:val="16"/>
        </w:rPr>
        <w:fldChar w:fldCharType="begin">
          <w:ffData>
            <w:name w:val="Kontrollkästchen31"/>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59"/>
      <w:r>
        <w:rPr>
          <w:sz w:val="16"/>
        </w:rPr>
        <w:t xml:space="preserve"> </w:t>
      </w:r>
      <w:r>
        <w:rPr>
          <w:sz w:val="14"/>
        </w:rPr>
        <w:t>inkl.</w:t>
      </w:r>
      <w:r>
        <w:rPr>
          <w:sz w:val="16"/>
        </w:rPr>
        <w:tab/>
      </w:r>
      <w:bookmarkStart w:id="60" w:name="Kontrollkästchen42"/>
      <w:r>
        <w:rPr>
          <w:sz w:val="16"/>
        </w:rPr>
        <w:fldChar w:fldCharType="begin">
          <w:ffData>
            <w:name w:val="Kontrollkästchen42"/>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60"/>
      <w:r>
        <w:rPr>
          <w:sz w:val="16"/>
        </w:rPr>
        <w:t xml:space="preserve"> </w:t>
      </w:r>
      <w:r>
        <w:rPr>
          <w:sz w:val="14"/>
        </w:rPr>
        <w:t>exkl.</w:t>
      </w:r>
      <w:r>
        <w:rPr>
          <w:sz w:val="16"/>
        </w:rPr>
        <w:tab/>
        <w:t xml:space="preserve">Fr.  </w:t>
      </w:r>
      <w:bookmarkStart w:id="61" w:name="Text23"/>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1"/>
      <w:r>
        <w:rPr>
          <w:sz w:val="16"/>
        </w:rPr>
        <w:tab/>
        <w:t xml:space="preserve">Fr.  </w:t>
      </w:r>
      <w:bookmarkStart w:id="62" w:name="Text19"/>
      <w:r>
        <w:rPr>
          <w:sz w:val="16"/>
        </w:rPr>
        <w:fldChar w:fldCharType="begin">
          <w:ffData>
            <w:name w:val="Text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2"/>
    </w:p>
    <w:p w:rsidR="001614A1" w:rsidRDefault="001614A1" w:rsidP="001614A1">
      <w:pPr>
        <w:pStyle w:val="Textkrper"/>
        <w:tabs>
          <w:tab w:val="left" w:pos="426"/>
          <w:tab w:val="left" w:pos="2410"/>
          <w:tab w:val="left" w:pos="3402"/>
          <w:tab w:val="left" w:pos="4536"/>
          <w:tab w:val="left" w:pos="5387"/>
          <w:tab w:val="left" w:pos="6521"/>
          <w:tab w:val="left" w:pos="8789"/>
          <w:tab w:val="decimal" w:pos="10206"/>
        </w:tabs>
        <w:spacing w:before="40"/>
        <w:rPr>
          <w:sz w:val="16"/>
        </w:rPr>
      </w:pPr>
      <w:r>
        <w:rPr>
          <w:sz w:val="16"/>
        </w:rPr>
        <w:tab/>
        <w:t>Umgebung</w:t>
      </w:r>
      <w:r>
        <w:rPr>
          <w:sz w:val="16"/>
        </w:rPr>
        <w:tab/>
      </w:r>
      <w:bookmarkStart w:id="63" w:name="Kontrollkästchen10"/>
      <w:r>
        <w:rPr>
          <w:sz w:val="16"/>
        </w:rPr>
        <w:fldChar w:fldCharType="begin">
          <w:ffData>
            <w:name w:val="Kontrollkästchen10"/>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63"/>
      <w:r>
        <w:rPr>
          <w:sz w:val="16"/>
        </w:rPr>
        <w:t xml:space="preserve"> </w:t>
      </w:r>
      <w:proofErr w:type="spellStart"/>
      <w:r>
        <w:rPr>
          <w:sz w:val="14"/>
        </w:rPr>
        <w:t>akonto</w:t>
      </w:r>
      <w:proofErr w:type="spellEnd"/>
      <w:r>
        <w:rPr>
          <w:sz w:val="16"/>
        </w:rPr>
        <w:tab/>
      </w:r>
      <w:bookmarkStart w:id="64" w:name="Kontrollkästchen13"/>
      <w:r>
        <w:rPr>
          <w:sz w:val="16"/>
        </w:rPr>
        <w:fldChar w:fldCharType="begin">
          <w:ffData>
            <w:name w:val="Kontrollkästchen13"/>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64"/>
      <w:r>
        <w:rPr>
          <w:sz w:val="16"/>
        </w:rPr>
        <w:t xml:space="preserve"> </w:t>
      </w:r>
      <w:r>
        <w:rPr>
          <w:sz w:val="14"/>
        </w:rPr>
        <w:t>pauschal</w:t>
      </w:r>
      <w:r>
        <w:rPr>
          <w:sz w:val="16"/>
        </w:rPr>
        <w:tab/>
      </w:r>
      <w:bookmarkStart w:id="65" w:name="Kontrollkästchen32"/>
      <w:r>
        <w:rPr>
          <w:sz w:val="16"/>
        </w:rPr>
        <w:fldChar w:fldCharType="begin">
          <w:ffData>
            <w:name w:val="Kontrollkästchen32"/>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65"/>
      <w:r>
        <w:rPr>
          <w:sz w:val="16"/>
        </w:rPr>
        <w:t xml:space="preserve"> </w:t>
      </w:r>
      <w:r>
        <w:rPr>
          <w:sz w:val="14"/>
        </w:rPr>
        <w:t>inkl.</w:t>
      </w:r>
      <w:r>
        <w:rPr>
          <w:sz w:val="16"/>
        </w:rPr>
        <w:tab/>
      </w:r>
      <w:bookmarkStart w:id="66" w:name="Kontrollkästchen43"/>
      <w:r>
        <w:rPr>
          <w:sz w:val="16"/>
        </w:rPr>
        <w:fldChar w:fldCharType="begin">
          <w:ffData>
            <w:name w:val="Kontrollkästchen43"/>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66"/>
      <w:r>
        <w:rPr>
          <w:sz w:val="16"/>
        </w:rPr>
        <w:t xml:space="preserve"> </w:t>
      </w:r>
      <w:r>
        <w:rPr>
          <w:sz w:val="14"/>
        </w:rPr>
        <w:t>exkl.</w:t>
      </w:r>
      <w:r>
        <w:rPr>
          <w:sz w:val="16"/>
        </w:rPr>
        <w:tab/>
        <w:t xml:space="preserve">Fr.  </w:t>
      </w:r>
      <w:bookmarkStart w:id="67" w:name="Text22"/>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r>
        <w:rPr>
          <w:sz w:val="16"/>
        </w:rPr>
        <w:tab/>
        <w:t xml:space="preserve">Fr.  </w:t>
      </w:r>
      <w:bookmarkStart w:id="68" w:name="Text18"/>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p w:rsidR="001614A1" w:rsidRPr="00F50251" w:rsidRDefault="001614A1" w:rsidP="001614A1">
      <w:pPr>
        <w:pStyle w:val="Textkrper"/>
        <w:tabs>
          <w:tab w:val="left" w:pos="426"/>
          <w:tab w:val="left" w:pos="2410"/>
          <w:tab w:val="left" w:pos="3402"/>
          <w:tab w:val="left" w:pos="4536"/>
          <w:tab w:val="left" w:pos="5387"/>
          <w:tab w:val="left" w:pos="6521"/>
          <w:tab w:val="left" w:pos="8789"/>
          <w:tab w:val="decimal" w:pos="10206"/>
        </w:tabs>
        <w:spacing w:before="40"/>
        <w:rPr>
          <w:sz w:val="16"/>
        </w:rPr>
      </w:pPr>
      <w:r>
        <w:rPr>
          <w:sz w:val="16"/>
        </w:rPr>
        <w:tab/>
      </w:r>
      <w:bookmarkStart w:id="69" w:name="Text37"/>
      <w:r>
        <w:rPr>
          <w:sz w:val="16"/>
        </w:rPr>
        <w:fldChar w:fldCharType="begin">
          <w:ffData>
            <w:name w:val="Text3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9"/>
      <w:r>
        <w:rPr>
          <w:sz w:val="16"/>
        </w:rPr>
        <w:tab/>
      </w:r>
      <w:bookmarkStart w:id="70" w:name="Kontrollkästchen11"/>
      <w:r>
        <w:rPr>
          <w:sz w:val="16"/>
        </w:rPr>
        <w:fldChar w:fldCharType="begin">
          <w:ffData>
            <w:name w:val="Kontrollkästchen11"/>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70"/>
      <w:r>
        <w:rPr>
          <w:sz w:val="16"/>
        </w:rPr>
        <w:t xml:space="preserve"> </w:t>
      </w:r>
      <w:proofErr w:type="spellStart"/>
      <w:r>
        <w:rPr>
          <w:sz w:val="14"/>
        </w:rPr>
        <w:t>akonto</w:t>
      </w:r>
      <w:proofErr w:type="spellEnd"/>
      <w:r>
        <w:rPr>
          <w:sz w:val="16"/>
        </w:rPr>
        <w:tab/>
      </w:r>
      <w:bookmarkStart w:id="71" w:name="Kontrollkästchen12"/>
      <w:r>
        <w:rPr>
          <w:sz w:val="16"/>
        </w:rPr>
        <w:fldChar w:fldCharType="begin">
          <w:ffData>
            <w:name w:val="Kontrollkästchen12"/>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71"/>
      <w:r>
        <w:rPr>
          <w:sz w:val="16"/>
        </w:rPr>
        <w:t xml:space="preserve"> </w:t>
      </w:r>
      <w:r>
        <w:rPr>
          <w:sz w:val="14"/>
        </w:rPr>
        <w:t>pauschal</w:t>
      </w:r>
      <w:r>
        <w:rPr>
          <w:sz w:val="16"/>
        </w:rPr>
        <w:tab/>
      </w:r>
      <w:bookmarkStart w:id="72" w:name="Kontrollkästchen33"/>
      <w:r>
        <w:rPr>
          <w:sz w:val="16"/>
        </w:rPr>
        <w:fldChar w:fldCharType="begin">
          <w:ffData>
            <w:name w:val="Kontrollkästchen33"/>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72"/>
      <w:r>
        <w:rPr>
          <w:sz w:val="16"/>
        </w:rPr>
        <w:t xml:space="preserve"> </w:t>
      </w:r>
      <w:r>
        <w:rPr>
          <w:sz w:val="14"/>
        </w:rPr>
        <w:t>inkl.</w:t>
      </w:r>
      <w:r>
        <w:rPr>
          <w:sz w:val="16"/>
        </w:rPr>
        <w:tab/>
      </w:r>
      <w:bookmarkStart w:id="73" w:name="Kontrollkästchen44"/>
      <w:r>
        <w:rPr>
          <w:sz w:val="16"/>
        </w:rPr>
        <w:fldChar w:fldCharType="begin">
          <w:ffData>
            <w:name w:val="Kontrollkästchen44"/>
            <w:enabled/>
            <w:calcOnExit w:val="0"/>
            <w:checkBox>
              <w:sizeAuto/>
              <w:default w:val="0"/>
            </w:checkBox>
          </w:ffData>
        </w:fldChar>
      </w:r>
      <w:r>
        <w:rPr>
          <w:sz w:val="16"/>
        </w:rPr>
        <w:instrText xml:space="preserve"> FORMCHECKBOX </w:instrText>
      </w:r>
      <w:r w:rsidR="00053671">
        <w:rPr>
          <w:sz w:val="16"/>
        </w:rPr>
      </w:r>
      <w:r w:rsidR="00053671">
        <w:rPr>
          <w:sz w:val="16"/>
        </w:rPr>
        <w:fldChar w:fldCharType="separate"/>
      </w:r>
      <w:r>
        <w:rPr>
          <w:sz w:val="16"/>
        </w:rPr>
        <w:fldChar w:fldCharType="end"/>
      </w:r>
      <w:bookmarkEnd w:id="73"/>
      <w:r>
        <w:rPr>
          <w:sz w:val="16"/>
        </w:rPr>
        <w:t xml:space="preserve"> </w:t>
      </w:r>
      <w:r>
        <w:rPr>
          <w:sz w:val="14"/>
        </w:rPr>
        <w:t>exkl.</w:t>
      </w:r>
      <w:r>
        <w:rPr>
          <w:sz w:val="16"/>
        </w:rPr>
        <w:tab/>
        <w:t xml:space="preserve">Fr.  </w:t>
      </w:r>
      <w:bookmarkStart w:id="74" w:name="Text21"/>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r>
        <w:rPr>
          <w:sz w:val="16"/>
        </w:rPr>
        <w:tab/>
      </w:r>
      <w:r>
        <w:rPr>
          <w:sz w:val="16"/>
          <w:u w:val="single"/>
        </w:rPr>
        <w:t xml:space="preserve">Fr.  </w:t>
      </w:r>
      <w:bookmarkStart w:id="75" w:name="Text20"/>
      <w:r>
        <w:rPr>
          <w:sz w:val="16"/>
          <w:u w:val="single"/>
        </w:rPr>
        <w:fldChar w:fldCharType="begin">
          <w:ffData>
            <w:name w:val="Text20"/>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75"/>
      <w:r w:rsidR="00CA516F">
        <w:rPr>
          <w:sz w:val="16"/>
          <w:u w:val="single"/>
        </w:rPr>
        <w:tab/>
      </w:r>
    </w:p>
    <w:p w:rsidR="001614A1" w:rsidRDefault="001614A1" w:rsidP="001614A1">
      <w:pPr>
        <w:pStyle w:val="Textkrper"/>
        <w:tabs>
          <w:tab w:val="left" w:pos="426"/>
          <w:tab w:val="left" w:pos="1985"/>
          <w:tab w:val="left" w:pos="2750"/>
          <w:tab w:val="left" w:pos="3686"/>
          <w:tab w:val="left" w:pos="4253"/>
          <w:tab w:val="left" w:pos="6521"/>
          <w:tab w:val="left" w:pos="8080"/>
          <w:tab w:val="left" w:pos="8789"/>
          <w:tab w:val="decimal" w:pos="10206"/>
        </w:tabs>
        <w:spacing w:before="120"/>
        <w:rPr>
          <w:sz w:val="16"/>
        </w:rPr>
      </w:pPr>
      <w:r>
        <w:rPr>
          <w:sz w:val="16"/>
        </w:rPr>
        <w:tab/>
      </w:r>
      <w:r>
        <w:rPr>
          <w:sz w:val="16"/>
        </w:rPr>
        <w:tab/>
      </w:r>
      <w:r>
        <w:rPr>
          <w:sz w:val="16"/>
        </w:rPr>
        <w:tab/>
      </w:r>
      <w:r>
        <w:rPr>
          <w:sz w:val="16"/>
        </w:rPr>
        <w:tab/>
      </w:r>
      <w:r>
        <w:rPr>
          <w:sz w:val="16"/>
        </w:rPr>
        <w:tab/>
      </w:r>
      <w:r>
        <w:rPr>
          <w:sz w:val="16"/>
        </w:rPr>
        <w:tab/>
      </w:r>
      <w:r>
        <w:rPr>
          <w:sz w:val="16"/>
        </w:rPr>
        <w:tab/>
      </w:r>
      <w:r>
        <w:rPr>
          <w:b/>
          <w:sz w:val="16"/>
        </w:rPr>
        <w:t>Total</w:t>
      </w:r>
      <w:r>
        <w:rPr>
          <w:b/>
          <w:sz w:val="16"/>
        </w:rPr>
        <w:tab/>
        <w:t>Fr.</w:t>
      </w:r>
      <w:r>
        <w:rPr>
          <w:sz w:val="16"/>
        </w:rPr>
        <w:t xml:space="preserve">  </w:t>
      </w:r>
      <w:bookmarkStart w:id="76" w:name="Text32"/>
      <w:r>
        <w:rPr>
          <w:sz w:val="16"/>
        </w:rPr>
        <w:fldChar w:fldCharType="begin">
          <w:ffData>
            <w:name w:val="Text3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p w:rsidR="001614A1" w:rsidRDefault="001614A1" w:rsidP="001614A1">
      <w:pPr>
        <w:pStyle w:val="Textkrper"/>
        <w:tabs>
          <w:tab w:val="left" w:pos="426"/>
          <w:tab w:val="left" w:pos="1985"/>
          <w:tab w:val="left" w:pos="2750"/>
          <w:tab w:val="left" w:pos="3686"/>
          <w:tab w:val="left" w:pos="4253"/>
          <w:tab w:val="left" w:pos="6521"/>
          <w:tab w:val="left" w:pos="8080"/>
          <w:tab w:val="left" w:pos="8789"/>
          <w:tab w:val="decimal" w:pos="10206"/>
        </w:tabs>
        <w:rPr>
          <w:sz w:val="16"/>
          <w:u w:val="double"/>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u w:val="double"/>
        </w:rPr>
        <w:tab/>
      </w:r>
    </w:p>
    <w:p w:rsidR="00696709" w:rsidRDefault="00696709" w:rsidP="00CA516F">
      <w:pPr>
        <w:pStyle w:val="Textkrper"/>
        <w:tabs>
          <w:tab w:val="left" w:pos="708"/>
          <w:tab w:val="left" w:pos="1416"/>
          <w:tab w:val="left" w:pos="2124"/>
          <w:tab w:val="left" w:pos="2832"/>
        </w:tabs>
        <w:rPr>
          <w:sz w:val="16"/>
          <w:u w:val="double"/>
        </w:rPr>
      </w:pPr>
    </w:p>
    <w:p w:rsidR="00696709" w:rsidRPr="00A80FE6" w:rsidRDefault="00696709" w:rsidP="00696709">
      <w:pPr>
        <w:pStyle w:val="Textkrper"/>
        <w:tabs>
          <w:tab w:val="left" w:pos="426"/>
          <w:tab w:val="left" w:pos="1985"/>
          <w:tab w:val="left" w:pos="2750"/>
          <w:tab w:val="left" w:pos="3686"/>
          <w:tab w:val="left" w:pos="4253"/>
          <w:tab w:val="left" w:pos="6521"/>
          <w:tab w:val="left" w:pos="8080"/>
          <w:tab w:val="left" w:pos="8789"/>
          <w:tab w:val="decimal" w:pos="10206"/>
        </w:tabs>
        <w:ind w:left="426" w:hanging="426"/>
        <w:rPr>
          <w:bCs/>
          <w:sz w:val="16"/>
          <w:szCs w:val="20"/>
        </w:rPr>
      </w:pPr>
      <w:r>
        <w:rPr>
          <w:sz w:val="16"/>
        </w:rPr>
        <w:tab/>
      </w:r>
      <w:r w:rsidRPr="00A80FE6">
        <w:rPr>
          <w:bCs/>
          <w:sz w:val="16"/>
          <w:szCs w:val="20"/>
        </w:rPr>
        <w:t>Der Vermieter hat für die wertvermehrenden Verbesserungen Förderbeiträge erhalten.</w:t>
      </w:r>
      <w:r w:rsidRPr="00A80FE6">
        <w:rPr>
          <w:bCs/>
          <w:sz w:val="16"/>
          <w:szCs w:val="20"/>
        </w:rPr>
        <w:tab/>
      </w:r>
      <w:r w:rsidRPr="00A80FE6">
        <w:rPr>
          <w:bCs/>
          <w:sz w:val="16"/>
          <w:szCs w:val="20"/>
        </w:rPr>
        <w:tab/>
      </w:r>
      <w:r w:rsidRPr="00A80FE6">
        <w:rPr>
          <w:sz w:val="16"/>
        </w:rPr>
        <w:fldChar w:fldCharType="begin">
          <w:ffData>
            <w:name w:val="Kontrollkästchen44"/>
            <w:enabled/>
            <w:calcOnExit w:val="0"/>
            <w:checkBox>
              <w:sizeAuto/>
              <w:default w:val="0"/>
            </w:checkBox>
          </w:ffData>
        </w:fldChar>
      </w:r>
      <w:r w:rsidRPr="00A80FE6">
        <w:rPr>
          <w:sz w:val="16"/>
        </w:rPr>
        <w:instrText xml:space="preserve"> FORMCHECKBOX </w:instrText>
      </w:r>
      <w:r w:rsidR="00053671">
        <w:rPr>
          <w:sz w:val="16"/>
        </w:rPr>
      </w:r>
      <w:r w:rsidR="00053671">
        <w:rPr>
          <w:sz w:val="16"/>
        </w:rPr>
        <w:fldChar w:fldCharType="separate"/>
      </w:r>
      <w:r w:rsidRPr="00A80FE6">
        <w:rPr>
          <w:sz w:val="16"/>
        </w:rPr>
        <w:fldChar w:fldCharType="end"/>
      </w:r>
    </w:p>
    <w:p w:rsidR="00696709" w:rsidRPr="00696709" w:rsidRDefault="00696709" w:rsidP="00696709">
      <w:pPr>
        <w:pStyle w:val="Textkrper"/>
        <w:tabs>
          <w:tab w:val="left" w:pos="426"/>
          <w:tab w:val="left" w:pos="1985"/>
          <w:tab w:val="left" w:pos="2750"/>
          <w:tab w:val="left" w:pos="3686"/>
          <w:tab w:val="left" w:pos="4253"/>
          <w:tab w:val="left" w:pos="6521"/>
          <w:tab w:val="left" w:pos="8080"/>
          <w:tab w:val="left" w:pos="8789"/>
          <w:tab w:val="decimal" w:pos="10206"/>
        </w:tabs>
        <w:ind w:left="426" w:hanging="426"/>
        <w:rPr>
          <w:sz w:val="16"/>
        </w:rPr>
      </w:pPr>
      <w:r w:rsidRPr="00A80FE6">
        <w:rPr>
          <w:bCs/>
          <w:sz w:val="16"/>
          <w:szCs w:val="20"/>
        </w:rPr>
        <w:tab/>
      </w:r>
      <w:r w:rsidR="00F11B78" w:rsidRPr="00A80FE6">
        <w:rPr>
          <w:bCs/>
          <w:sz w:val="16"/>
          <w:szCs w:val="20"/>
        </w:rPr>
        <w:t>Die Förderbeiträge</w:t>
      </w:r>
      <w:r w:rsidRPr="00A80FE6">
        <w:rPr>
          <w:bCs/>
          <w:sz w:val="16"/>
          <w:szCs w:val="20"/>
        </w:rPr>
        <w:t xml:space="preserve"> wurde</w:t>
      </w:r>
      <w:r w:rsidR="00F11B78" w:rsidRPr="00A80FE6">
        <w:rPr>
          <w:bCs/>
          <w:sz w:val="16"/>
          <w:szCs w:val="20"/>
        </w:rPr>
        <w:t>n</w:t>
      </w:r>
      <w:r w:rsidRPr="00A80FE6">
        <w:rPr>
          <w:bCs/>
          <w:sz w:val="16"/>
          <w:szCs w:val="20"/>
        </w:rPr>
        <w:t xml:space="preserve"> bei</w:t>
      </w:r>
      <w:r w:rsidRPr="00A80FE6">
        <w:rPr>
          <w:sz w:val="16"/>
          <w:szCs w:val="20"/>
        </w:rPr>
        <w:t xml:space="preserve"> </w:t>
      </w:r>
      <w:r w:rsidRPr="00A80FE6">
        <w:rPr>
          <w:bCs/>
          <w:sz w:val="16"/>
          <w:szCs w:val="20"/>
        </w:rPr>
        <w:t>der Berechnung der Mietzinserhöhung berücksichtigt.</w:t>
      </w:r>
      <w:r w:rsidR="00F11B78" w:rsidRPr="00A80FE6">
        <w:rPr>
          <w:bCs/>
          <w:sz w:val="16"/>
          <w:szCs w:val="20"/>
        </w:rPr>
        <w:tab/>
      </w:r>
      <w:r w:rsidR="00F11B78" w:rsidRPr="00A80FE6">
        <w:rPr>
          <w:bCs/>
          <w:sz w:val="16"/>
          <w:szCs w:val="20"/>
        </w:rPr>
        <w:tab/>
      </w:r>
      <w:r w:rsidR="00F11B78" w:rsidRPr="00A80FE6">
        <w:rPr>
          <w:bCs/>
          <w:sz w:val="16"/>
          <w:szCs w:val="20"/>
        </w:rPr>
        <w:tab/>
      </w:r>
      <w:r w:rsidR="00F11B78" w:rsidRPr="00A80FE6">
        <w:rPr>
          <w:sz w:val="16"/>
        </w:rPr>
        <w:fldChar w:fldCharType="begin">
          <w:ffData>
            <w:name w:val="Kontrollkästchen44"/>
            <w:enabled/>
            <w:calcOnExit w:val="0"/>
            <w:checkBox>
              <w:sizeAuto/>
              <w:default w:val="0"/>
            </w:checkBox>
          </w:ffData>
        </w:fldChar>
      </w:r>
      <w:r w:rsidR="00F11B78" w:rsidRPr="00A80FE6">
        <w:rPr>
          <w:sz w:val="16"/>
        </w:rPr>
        <w:instrText xml:space="preserve"> FORMCHECKBOX </w:instrText>
      </w:r>
      <w:r w:rsidR="00053671">
        <w:rPr>
          <w:sz w:val="16"/>
        </w:rPr>
      </w:r>
      <w:r w:rsidR="00053671">
        <w:rPr>
          <w:sz w:val="16"/>
        </w:rPr>
        <w:fldChar w:fldCharType="separate"/>
      </w:r>
      <w:r w:rsidR="00F11B78" w:rsidRPr="00A80FE6">
        <w:rPr>
          <w:sz w:val="16"/>
        </w:rPr>
        <w:fldChar w:fldCharType="end"/>
      </w:r>
    </w:p>
    <w:p w:rsidR="001614A1" w:rsidRDefault="001614A1" w:rsidP="001614A1">
      <w:pPr>
        <w:pStyle w:val="Textkrper"/>
        <w:tabs>
          <w:tab w:val="left" w:pos="426"/>
          <w:tab w:val="left" w:pos="1985"/>
          <w:tab w:val="left" w:pos="2750"/>
          <w:tab w:val="left" w:pos="3686"/>
          <w:tab w:val="left" w:pos="4253"/>
          <w:tab w:val="left" w:pos="4962"/>
          <w:tab w:val="left" w:pos="7088"/>
          <w:tab w:val="decimal" w:pos="8505"/>
        </w:tabs>
        <w:rPr>
          <w:sz w:val="16"/>
        </w:rPr>
      </w:pPr>
    </w:p>
    <w:p w:rsidR="001614A1" w:rsidRDefault="001614A1" w:rsidP="001614A1">
      <w:pPr>
        <w:pStyle w:val="Textkrper"/>
        <w:tabs>
          <w:tab w:val="left" w:pos="426"/>
          <w:tab w:val="left" w:pos="1276"/>
          <w:tab w:val="left" w:pos="5670"/>
          <w:tab w:val="right" w:pos="6237"/>
          <w:tab w:val="left" w:pos="7088"/>
        </w:tabs>
        <w:spacing w:line="360" w:lineRule="auto"/>
        <w:rPr>
          <w:sz w:val="14"/>
        </w:rPr>
      </w:pPr>
      <w:r w:rsidRPr="003B4DBD">
        <w:rPr>
          <w:b/>
          <w:sz w:val="16"/>
          <w:szCs w:val="16"/>
        </w:rPr>
        <w:t>Begründung der Erhöhung:</w:t>
      </w:r>
      <w:r>
        <w:rPr>
          <w:b/>
          <w:szCs w:val="18"/>
        </w:rPr>
        <w:tab/>
      </w:r>
      <w:r>
        <w:rPr>
          <w:sz w:val="14"/>
        </w:rPr>
        <w:t>Begründung gemäss separatem Begleitschreiben</w:t>
      </w:r>
      <w:bookmarkStart w:id="77" w:name="_Ref305423820"/>
      <w:r>
        <w:rPr>
          <w:rStyle w:val="Funotenzeichen"/>
          <w:sz w:val="14"/>
        </w:rPr>
        <w:footnoteReference w:id="1"/>
      </w:r>
      <w:bookmarkEnd w:id="77"/>
      <w:r>
        <w:rPr>
          <w:sz w:val="14"/>
        </w:rPr>
        <w:t xml:space="preserve"> </w:t>
      </w:r>
      <w:bookmarkStart w:id="78" w:name="Text33"/>
    </w:p>
    <w:p w:rsidR="001614A1" w:rsidRDefault="001614A1" w:rsidP="001614A1">
      <w:pPr>
        <w:pStyle w:val="Textkrper"/>
        <w:tabs>
          <w:tab w:val="left" w:pos="426"/>
          <w:tab w:val="left" w:pos="1276"/>
          <w:tab w:val="left" w:pos="5670"/>
          <w:tab w:val="right" w:pos="6237"/>
          <w:tab w:val="left" w:pos="7088"/>
        </w:tabs>
        <w:spacing w:line="360" w:lineRule="auto"/>
        <w:rPr>
          <w:sz w:val="16"/>
        </w:rPr>
      </w:pPr>
      <w:r>
        <w:rPr>
          <w:sz w:val="16"/>
        </w:rPr>
        <w:fldChar w:fldCharType="begin">
          <w:ffData>
            <w:name w:val="Text3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p w:rsidR="001614A1" w:rsidRDefault="001614A1" w:rsidP="001614A1">
      <w:pPr>
        <w:pStyle w:val="Textkrper"/>
        <w:tabs>
          <w:tab w:val="left" w:pos="426"/>
          <w:tab w:val="left" w:pos="4536"/>
          <w:tab w:val="right" w:pos="6237"/>
          <w:tab w:val="left" w:pos="7088"/>
        </w:tabs>
        <w:rPr>
          <w:sz w:val="16"/>
        </w:rPr>
      </w:pPr>
    </w:p>
    <w:p w:rsidR="001614A1" w:rsidRDefault="001614A1" w:rsidP="001614A1">
      <w:pPr>
        <w:pStyle w:val="Textkrper"/>
        <w:tabs>
          <w:tab w:val="left" w:pos="426"/>
          <w:tab w:val="left" w:pos="4536"/>
          <w:tab w:val="right" w:pos="6237"/>
          <w:tab w:val="left" w:pos="7088"/>
        </w:tabs>
        <w:rPr>
          <w:sz w:val="16"/>
        </w:rPr>
      </w:pPr>
    </w:p>
    <w:p w:rsidR="001614A1" w:rsidRPr="00F50251" w:rsidRDefault="001614A1" w:rsidP="001614A1">
      <w:pPr>
        <w:pStyle w:val="Textkrper"/>
        <w:tabs>
          <w:tab w:val="left" w:pos="426"/>
          <w:tab w:val="left" w:pos="4536"/>
          <w:tab w:val="right" w:pos="6237"/>
          <w:tab w:val="left" w:pos="7088"/>
        </w:tabs>
        <w:rPr>
          <w:sz w:val="10"/>
          <w:szCs w:val="10"/>
        </w:rPr>
      </w:pPr>
    </w:p>
    <w:p w:rsidR="001614A1" w:rsidRDefault="001614A1" w:rsidP="001614A1">
      <w:pPr>
        <w:pStyle w:val="Textkrper"/>
        <w:numPr>
          <w:ilvl w:val="0"/>
          <w:numId w:val="1"/>
        </w:numPr>
        <w:tabs>
          <w:tab w:val="left" w:pos="4536"/>
          <w:tab w:val="right" w:pos="6237"/>
          <w:tab w:val="left" w:pos="7088"/>
        </w:tabs>
        <w:spacing w:before="120"/>
        <w:rPr>
          <w:b/>
        </w:rPr>
      </w:pPr>
      <w:r>
        <w:rPr>
          <w:b/>
        </w:rPr>
        <w:t>Andere einseitige Vertragsänderungen:</w:t>
      </w:r>
    </w:p>
    <w:p w:rsidR="001614A1" w:rsidRDefault="001614A1" w:rsidP="001614A1">
      <w:pPr>
        <w:pStyle w:val="Textkrper"/>
        <w:tabs>
          <w:tab w:val="left" w:pos="426"/>
          <w:tab w:val="left" w:pos="4536"/>
          <w:tab w:val="right" w:pos="6237"/>
          <w:tab w:val="left" w:pos="7088"/>
        </w:tabs>
        <w:rPr>
          <w:b/>
          <w:sz w:val="16"/>
        </w:rPr>
      </w:pPr>
    </w:p>
    <w:p w:rsidR="001614A1" w:rsidRDefault="001614A1" w:rsidP="001614A1">
      <w:pPr>
        <w:pStyle w:val="Textkrper"/>
        <w:tabs>
          <w:tab w:val="left" w:pos="2127"/>
          <w:tab w:val="left" w:pos="4536"/>
          <w:tab w:val="right" w:pos="6237"/>
          <w:tab w:val="left" w:pos="7088"/>
        </w:tabs>
        <w:spacing w:line="360" w:lineRule="auto"/>
        <w:rPr>
          <w:sz w:val="16"/>
        </w:rPr>
      </w:pPr>
      <w:r>
        <w:rPr>
          <w:sz w:val="16"/>
        </w:rPr>
        <w:t>Umschreibung der Änderung:</w:t>
      </w:r>
      <w:r>
        <w:rPr>
          <w:sz w:val="16"/>
        </w:rPr>
        <w:tab/>
      </w:r>
      <w:bookmarkStart w:id="79" w:name="Text34"/>
      <w:r>
        <w:rPr>
          <w:sz w:val="16"/>
        </w:rPr>
        <w:fldChar w:fldCharType="begin">
          <w:ffData>
            <w:name w:val="Text3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p w:rsidR="001614A1" w:rsidRDefault="001614A1" w:rsidP="001614A1">
      <w:pPr>
        <w:pStyle w:val="Textkrper"/>
        <w:tabs>
          <w:tab w:val="left" w:pos="2127"/>
          <w:tab w:val="left" w:pos="4536"/>
          <w:tab w:val="right" w:pos="6237"/>
          <w:tab w:val="left" w:pos="7088"/>
        </w:tabs>
        <w:spacing w:line="360" w:lineRule="auto"/>
        <w:rPr>
          <w:sz w:val="16"/>
        </w:rPr>
      </w:pPr>
      <w:r>
        <w:rPr>
          <w:sz w:val="16"/>
        </w:rPr>
        <w:tab/>
      </w:r>
    </w:p>
    <w:p w:rsidR="001614A1" w:rsidRDefault="001614A1" w:rsidP="001614A1">
      <w:pPr>
        <w:pStyle w:val="Textkrper"/>
        <w:tabs>
          <w:tab w:val="left" w:pos="2127"/>
          <w:tab w:val="left" w:pos="5670"/>
          <w:tab w:val="right" w:pos="6237"/>
          <w:tab w:val="left" w:pos="7088"/>
        </w:tabs>
        <w:spacing w:line="360" w:lineRule="auto"/>
        <w:rPr>
          <w:sz w:val="14"/>
          <w:vertAlign w:val="superscript"/>
        </w:rPr>
      </w:pPr>
      <w:r>
        <w:rPr>
          <w:sz w:val="16"/>
        </w:rPr>
        <w:t>Begründung der Änderung:</w:t>
      </w:r>
      <w:r>
        <w:rPr>
          <w:sz w:val="16"/>
        </w:rPr>
        <w:tab/>
      </w:r>
      <w:r>
        <w:rPr>
          <w:sz w:val="16"/>
        </w:rPr>
        <w:tab/>
      </w:r>
      <w:r>
        <w:rPr>
          <w:sz w:val="14"/>
        </w:rPr>
        <w:t>Begründung gemäss separatem Begleitschreiben</w:t>
      </w:r>
      <w:r w:rsidRPr="003B4DBD">
        <w:rPr>
          <w:sz w:val="14"/>
          <w:vertAlign w:val="superscript"/>
        </w:rPr>
        <w:fldChar w:fldCharType="begin"/>
      </w:r>
      <w:r w:rsidRPr="003B4DBD">
        <w:rPr>
          <w:sz w:val="14"/>
          <w:vertAlign w:val="superscript"/>
        </w:rPr>
        <w:instrText xml:space="preserve"> NOTEREF _Ref305423820 \h </w:instrText>
      </w:r>
      <w:r>
        <w:rPr>
          <w:sz w:val="14"/>
          <w:vertAlign w:val="superscript"/>
        </w:rPr>
        <w:instrText xml:space="preserve"> \* MERGEFORMAT </w:instrText>
      </w:r>
      <w:r w:rsidRPr="003B4DBD">
        <w:rPr>
          <w:sz w:val="14"/>
          <w:vertAlign w:val="superscript"/>
        </w:rPr>
      </w:r>
      <w:r w:rsidRPr="003B4DBD">
        <w:rPr>
          <w:sz w:val="14"/>
          <w:vertAlign w:val="superscript"/>
        </w:rPr>
        <w:fldChar w:fldCharType="separate"/>
      </w:r>
      <w:r w:rsidR="00053671">
        <w:rPr>
          <w:sz w:val="14"/>
          <w:vertAlign w:val="superscript"/>
        </w:rPr>
        <w:t>1</w:t>
      </w:r>
      <w:r w:rsidRPr="003B4DBD">
        <w:rPr>
          <w:sz w:val="14"/>
          <w:vertAlign w:val="superscript"/>
        </w:rPr>
        <w:fldChar w:fldCharType="end"/>
      </w:r>
    </w:p>
    <w:bookmarkStart w:id="80" w:name="Text35"/>
    <w:p w:rsidR="001614A1" w:rsidRDefault="001614A1" w:rsidP="001614A1">
      <w:pPr>
        <w:pStyle w:val="Textkrper"/>
        <w:tabs>
          <w:tab w:val="left" w:pos="2127"/>
          <w:tab w:val="left" w:pos="5670"/>
          <w:tab w:val="right" w:pos="6237"/>
          <w:tab w:val="left" w:pos="7088"/>
        </w:tabs>
        <w:spacing w:line="360" w:lineRule="auto"/>
        <w:rPr>
          <w:sz w:val="16"/>
        </w:rPr>
      </w:pPr>
      <w:r>
        <w:rPr>
          <w:sz w:val="16"/>
        </w:rPr>
        <w:fldChar w:fldCharType="begin">
          <w:ffData>
            <w:name w:val="Text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p w:rsidR="001614A1" w:rsidRDefault="001614A1" w:rsidP="001614A1">
      <w:pPr>
        <w:pStyle w:val="Textkrper"/>
        <w:tabs>
          <w:tab w:val="left" w:pos="2127"/>
          <w:tab w:val="left" w:pos="5670"/>
          <w:tab w:val="right" w:pos="6237"/>
          <w:tab w:val="left" w:pos="7088"/>
        </w:tabs>
        <w:spacing w:line="360" w:lineRule="auto"/>
        <w:rPr>
          <w:sz w:val="16"/>
        </w:rPr>
      </w:pPr>
    </w:p>
    <w:p w:rsidR="001614A1" w:rsidRDefault="001614A1" w:rsidP="001614A1">
      <w:pPr>
        <w:pStyle w:val="Textkrper"/>
        <w:tabs>
          <w:tab w:val="left" w:pos="426"/>
          <w:tab w:val="left" w:pos="4536"/>
          <w:tab w:val="right" w:pos="6237"/>
          <w:tab w:val="left" w:pos="7088"/>
        </w:tabs>
        <w:spacing w:before="60"/>
        <w:jc w:val="both"/>
        <w:rPr>
          <w:sz w:val="16"/>
        </w:rPr>
      </w:pPr>
      <w:r>
        <w:rPr>
          <w:sz w:val="16"/>
        </w:rPr>
        <w:t xml:space="preserve">Diese Mietzinsveränderungen und/oder anderen einseitigen Vertragsänderungen können innert 30 Tagen seit Empfang der Mitteilung bei der </w:t>
      </w:r>
      <w:r>
        <w:rPr>
          <w:b/>
          <w:sz w:val="16"/>
        </w:rPr>
        <w:t>Schlichtungsbehörde</w:t>
      </w:r>
      <w:r w:rsidR="00113159">
        <w:rPr>
          <w:b/>
          <w:sz w:val="16"/>
        </w:rPr>
        <w:t xml:space="preserve"> des Kantons Glarus</w:t>
      </w:r>
      <w:r>
        <w:rPr>
          <w:b/>
          <w:sz w:val="16"/>
        </w:rPr>
        <w:t>,</w:t>
      </w:r>
      <w:r>
        <w:rPr>
          <w:sz w:val="16"/>
        </w:rPr>
        <w:t xml:space="preserve"> </w:t>
      </w:r>
      <w:r w:rsidR="00113159">
        <w:rPr>
          <w:sz w:val="16"/>
        </w:rPr>
        <w:t>Gerichtshausstrasse 22</w:t>
      </w:r>
      <w:r>
        <w:rPr>
          <w:sz w:val="16"/>
        </w:rPr>
        <w:t>, 8750 Glarus, als missbräuchlich angefochten werden; andernfalls gelten sie als angenommen.</w:t>
      </w:r>
    </w:p>
    <w:p w:rsidR="001614A1" w:rsidRDefault="001614A1" w:rsidP="001614A1">
      <w:pPr>
        <w:pStyle w:val="Textkrper"/>
        <w:tabs>
          <w:tab w:val="left" w:pos="426"/>
          <w:tab w:val="left" w:pos="4536"/>
          <w:tab w:val="right" w:pos="6237"/>
          <w:tab w:val="left" w:pos="7088"/>
        </w:tabs>
        <w:rPr>
          <w:sz w:val="16"/>
        </w:rPr>
      </w:pPr>
    </w:p>
    <w:p w:rsidR="001614A1" w:rsidRDefault="001614A1" w:rsidP="001614A1">
      <w:pPr>
        <w:pStyle w:val="Textkrper"/>
        <w:tabs>
          <w:tab w:val="left" w:pos="426"/>
          <w:tab w:val="left" w:pos="4536"/>
          <w:tab w:val="left" w:pos="5670"/>
        </w:tabs>
        <w:rPr>
          <w:sz w:val="16"/>
        </w:rPr>
      </w:pPr>
    </w:p>
    <w:bookmarkStart w:id="81" w:name="Text36"/>
    <w:p w:rsidR="001614A1" w:rsidRDefault="001614A1" w:rsidP="001614A1">
      <w:pPr>
        <w:pStyle w:val="Textkrper"/>
        <w:tabs>
          <w:tab w:val="left" w:pos="426"/>
          <w:tab w:val="left" w:pos="567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tab/>
        <w:t>...................................................................</w:t>
      </w:r>
    </w:p>
    <w:p w:rsidR="001614A1" w:rsidRDefault="00F1312E" w:rsidP="001614A1">
      <w:pPr>
        <w:pStyle w:val="Textkrper"/>
        <w:tabs>
          <w:tab w:val="left" w:pos="5670"/>
          <w:tab w:val="left" w:pos="6663"/>
        </w:tabs>
        <w:rPr>
          <w:sz w:val="16"/>
        </w:rPr>
        <w:sectPr w:rsidR="001614A1" w:rsidSect="00AC258F">
          <w:headerReference w:type="first" r:id="rId8"/>
          <w:footerReference w:type="first" r:id="rId9"/>
          <w:pgSz w:w="11906" w:h="16838" w:code="9"/>
          <w:pgMar w:top="993" w:right="851" w:bottom="270" w:left="851" w:header="454" w:footer="397" w:gutter="0"/>
          <w:cols w:space="720"/>
          <w:titlePg/>
          <w:docGrid w:linePitch="299"/>
        </w:sectPr>
      </w:pPr>
      <w:r>
        <w:rPr>
          <w:sz w:val="16"/>
        </w:rPr>
        <w:t>Ort, Datum</w:t>
      </w:r>
      <w:r>
        <w:rPr>
          <w:sz w:val="16"/>
        </w:rPr>
        <w:tab/>
      </w:r>
      <w:proofErr w:type="spellStart"/>
      <w:r>
        <w:rPr>
          <w:sz w:val="16"/>
        </w:rPr>
        <w:t>Unterschrif</w:t>
      </w:r>
      <w:proofErr w:type="spellEnd"/>
    </w:p>
    <w:p w:rsidR="001614A1" w:rsidRDefault="001614A1" w:rsidP="001614A1">
      <w:pPr>
        <w:pStyle w:val="Textkrper"/>
        <w:tabs>
          <w:tab w:val="left" w:pos="5670"/>
          <w:tab w:val="left" w:pos="6663"/>
        </w:tabs>
        <w:rPr>
          <w:rFonts w:cs="Arial"/>
          <w:b/>
          <w:sz w:val="24"/>
        </w:rPr>
      </w:pPr>
      <w:r w:rsidRPr="004A186E">
        <w:rPr>
          <w:rFonts w:cs="Arial"/>
          <w:b/>
          <w:sz w:val="24"/>
        </w:rPr>
        <w:lastRenderedPageBreak/>
        <w:t>MERKBLATT</w:t>
      </w:r>
    </w:p>
    <w:p w:rsidR="001614A1" w:rsidRPr="002C7E05" w:rsidRDefault="001614A1" w:rsidP="001614A1">
      <w:pPr>
        <w:pStyle w:val="Textkrper"/>
        <w:tabs>
          <w:tab w:val="left" w:pos="5670"/>
          <w:tab w:val="left" w:pos="6663"/>
        </w:tabs>
        <w:rPr>
          <w:rFonts w:cs="Arial"/>
          <w:b/>
          <w:sz w:val="14"/>
          <w:szCs w:val="16"/>
        </w:rPr>
      </w:pPr>
    </w:p>
    <w:p w:rsidR="001614A1" w:rsidRDefault="001614A1" w:rsidP="001614A1">
      <w:pPr>
        <w:pStyle w:val="Textkrper"/>
        <w:tabs>
          <w:tab w:val="left" w:pos="5670"/>
          <w:tab w:val="left" w:pos="6663"/>
        </w:tabs>
        <w:rPr>
          <w:rFonts w:cs="Arial"/>
          <w:b/>
          <w:sz w:val="14"/>
          <w:szCs w:val="16"/>
        </w:rPr>
        <w:sectPr w:rsidR="001614A1" w:rsidSect="00F1312E">
          <w:pgSz w:w="11906" w:h="16838" w:code="9"/>
          <w:pgMar w:top="284" w:right="386" w:bottom="0" w:left="357" w:header="454" w:footer="397" w:gutter="0"/>
          <w:cols w:space="720"/>
          <w:docGrid w:linePitch="299"/>
        </w:sectPr>
      </w:pPr>
    </w:p>
    <w:p w:rsidR="001614A1" w:rsidRDefault="001614A1" w:rsidP="001614A1">
      <w:pPr>
        <w:pBdr>
          <w:top w:val="single" w:sz="4" w:space="1" w:color="auto"/>
          <w:left w:val="single" w:sz="4" w:space="4" w:color="auto"/>
          <w:bottom w:val="single" w:sz="4" w:space="1" w:color="auto"/>
          <w:right w:val="single" w:sz="4" w:space="4" w:color="auto"/>
        </w:pBdr>
        <w:ind w:left="162"/>
        <w:jc w:val="both"/>
        <w:rPr>
          <w:rFonts w:cs="Arial"/>
          <w:b/>
          <w:sz w:val="16"/>
          <w:szCs w:val="16"/>
        </w:rPr>
      </w:pPr>
      <w:r w:rsidRPr="00C03FFE">
        <w:rPr>
          <w:rFonts w:cs="Arial"/>
          <w:b/>
          <w:sz w:val="16"/>
          <w:szCs w:val="16"/>
        </w:rPr>
        <w:t>Auszug aus den massgeblichen Bestimmungen des Obligationenrechts</w:t>
      </w:r>
      <w:r>
        <w:rPr>
          <w:rFonts w:cs="Arial"/>
          <w:b/>
          <w:sz w:val="16"/>
          <w:szCs w:val="16"/>
        </w:rPr>
        <w:t xml:space="preserve"> (OR)</w:t>
      </w:r>
    </w:p>
    <w:p w:rsidR="001614A1" w:rsidRPr="002C7E05" w:rsidRDefault="001614A1" w:rsidP="001614A1">
      <w:pPr>
        <w:pStyle w:val="Textkrper"/>
        <w:tabs>
          <w:tab w:val="left" w:pos="5670"/>
          <w:tab w:val="left" w:pos="6663"/>
        </w:tabs>
        <w:rPr>
          <w:rFonts w:cs="Arial"/>
          <w:sz w:val="16"/>
          <w:szCs w:val="16"/>
        </w:rPr>
      </w:pPr>
    </w:p>
    <w:p w:rsidR="001614A1" w:rsidRDefault="001614A1" w:rsidP="001614A1">
      <w:pPr>
        <w:tabs>
          <w:tab w:val="left" w:pos="900"/>
        </w:tabs>
        <w:jc w:val="both"/>
        <w:rPr>
          <w:rFonts w:cs="Arial"/>
          <w:b/>
          <w:sz w:val="16"/>
          <w:szCs w:val="16"/>
        </w:rPr>
      </w:pPr>
      <w:r>
        <w:rPr>
          <w:rFonts w:cs="Arial"/>
          <w:b/>
          <w:sz w:val="16"/>
          <w:szCs w:val="16"/>
        </w:rPr>
        <w:t>Art. 257a</w:t>
      </w:r>
      <w:r>
        <w:rPr>
          <w:rFonts w:cs="Arial"/>
          <w:b/>
          <w:sz w:val="16"/>
          <w:szCs w:val="16"/>
        </w:rPr>
        <w:tab/>
        <w:t>Nebenkosten im Allgemeinen</w:t>
      </w:r>
    </w:p>
    <w:p w:rsidR="001614A1" w:rsidRDefault="001614A1" w:rsidP="001614A1">
      <w:pPr>
        <w:tabs>
          <w:tab w:val="left" w:pos="900"/>
        </w:tabs>
        <w:jc w:val="both"/>
        <w:rPr>
          <w:rFonts w:cs="Arial"/>
          <w:sz w:val="16"/>
          <w:szCs w:val="16"/>
        </w:rPr>
      </w:pPr>
      <w:r w:rsidRPr="00A65ADF">
        <w:rPr>
          <w:rFonts w:cs="Arial"/>
          <w:sz w:val="16"/>
          <w:szCs w:val="16"/>
          <w:vertAlign w:val="superscript"/>
        </w:rPr>
        <w:t>1</w:t>
      </w:r>
      <w:r>
        <w:rPr>
          <w:rFonts w:cs="Arial"/>
          <w:sz w:val="16"/>
          <w:szCs w:val="16"/>
        </w:rPr>
        <w:t xml:space="preserve"> Die Nebenkosten sind das Entgelt für die Leistungen des Vermieters oder eines Dritten, die mit dem Gebrauch der Sache zusammenhängen.</w:t>
      </w:r>
    </w:p>
    <w:p w:rsidR="001614A1" w:rsidRDefault="001614A1" w:rsidP="001614A1">
      <w:pPr>
        <w:tabs>
          <w:tab w:val="left" w:pos="900"/>
        </w:tabs>
        <w:jc w:val="both"/>
        <w:rPr>
          <w:rFonts w:cs="Arial"/>
          <w:sz w:val="16"/>
          <w:szCs w:val="16"/>
        </w:rPr>
      </w:pPr>
      <w:r w:rsidRPr="00A65ADF">
        <w:rPr>
          <w:rFonts w:cs="Arial"/>
          <w:sz w:val="16"/>
          <w:szCs w:val="16"/>
          <w:vertAlign w:val="superscript"/>
        </w:rPr>
        <w:t>2</w:t>
      </w:r>
      <w:r>
        <w:rPr>
          <w:rFonts w:cs="Arial"/>
          <w:sz w:val="16"/>
          <w:szCs w:val="16"/>
        </w:rPr>
        <w:t xml:space="preserve"> Der Mieter muss die Nebenkosten nur bezahlen, wenn er dies mit dem Vermieter besonders vereinbart hat.</w:t>
      </w:r>
    </w:p>
    <w:p w:rsidR="001614A1" w:rsidRDefault="001614A1" w:rsidP="001614A1">
      <w:pPr>
        <w:tabs>
          <w:tab w:val="left" w:pos="900"/>
        </w:tabs>
        <w:jc w:val="both"/>
        <w:rPr>
          <w:rFonts w:cs="Arial"/>
          <w:sz w:val="16"/>
          <w:szCs w:val="16"/>
        </w:rPr>
      </w:pPr>
    </w:p>
    <w:p w:rsidR="001614A1" w:rsidRDefault="001614A1" w:rsidP="001614A1">
      <w:pPr>
        <w:tabs>
          <w:tab w:val="left" w:pos="900"/>
        </w:tabs>
        <w:jc w:val="both"/>
        <w:rPr>
          <w:rFonts w:cs="Arial"/>
          <w:b/>
          <w:sz w:val="16"/>
          <w:szCs w:val="16"/>
        </w:rPr>
      </w:pPr>
      <w:r>
        <w:rPr>
          <w:rFonts w:cs="Arial"/>
          <w:b/>
          <w:sz w:val="16"/>
          <w:szCs w:val="16"/>
        </w:rPr>
        <w:t>Art. 257b</w:t>
      </w:r>
      <w:r>
        <w:rPr>
          <w:rFonts w:cs="Arial"/>
          <w:b/>
          <w:sz w:val="16"/>
          <w:szCs w:val="16"/>
        </w:rPr>
        <w:tab/>
        <w:t>Nebenkosten bei Wohn- und Geschäftsräumen</w:t>
      </w:r>
    </w:p>
    <w:p w:rsidR="001614A1" w:rsidRDefault="001614A1" w:rsidP="001614A1">
      <w:pPr>
        <w:tabs>
          <w:tab w:val="left" w:pos="900"/>
        </w:tabs>
        <w:jc w:val="both"/>
        <w:rPr>
          <w:rFonts w:cs="Arial"/>
          <w:sz w:val="16"/>
          <w:szCs w:val="16"/>
        </w:rPr>
      </w:pPr>
      <w:r w:rsidRPr="00A65ADF">
        <w:rPr>
          <w:rFonts w:cs="Arial"/>
          <w:sz w:val="16"/>
          <w:szCs w:val="16"/>
          <w:vertAlign w:val="superscript"/>
        </w:rPr>
        <w:t>1</w:t>
      </w:r>
      <w:r>
        <w:rPr>
          <w:rFonts w:cs="Arial"/>
          <w:sz w:val="16"/>
          <w:szCs w:val="16"/>
        </w:rPr>
        <w:t xml:space="preserve"> Bei Wohn- und Geschäftsräumen sind die Nebenkosten die tatsächlichen Aufwendungen des Vermieters für Leistungen, die mit dem Gebrauch zusammenhängen, wie Heizungs-, Warmwasser- und ähnliche Betriebskosten, sowie für öffentliche Abgaben, die sich aus dem Gebrauch der Sache ergeben.</w:t>
      </w:r>
    </w:p>
    <w:p w:rsidR="001614A1" w:rsidRDefault="001614A1" w:rsidP="001614A1">
      <w:pPr>
        <w:tabs>
          <w:tab w:val="left" w:pos="900"/>
        </w:tabs>
        <w:jc w:val="both"/>
        <w:rPr>
          <w:rFonts w:cs="Arial"/>
          <w:sz w:val="16"/>
          <w:szCs w:val="16"/>
        </w:rPr>
      </w:pPr>
      <w:r w:rsidRPr="00A65ADF">
        <w:rPr>
          <w:rFonts w:cs="Arial"/>
          <w:sz w:val="16"/>
          <w:szCs w:val="16"/>
          <w:vertAlign w:val="superscript"/>
        </w:rPr>
        <w:t>2</w:t>
      </w:r>
      <w:r>
        <w:rPr>
          <w:rFonts w:cs="Arial"/>
          <w:sz w:val="16"/>
          <w:szCs w:val="16"/>
        </w:rPr>
        <w:t xml:space="preserve"> Der Vermieter muss dem Mieter auf Verlangen Einsicht in die Belege gewähren.</w:t>
      </w:r>
    </w:p>
    <w:p w:rsidR="001614A1" w:rsidRDefault="001614A1" w:rsidP="001614A1">
      <w:pPr>
        <w:tabs>
          <w:tab w:val="left" w:pos="900"/>
        </w:tabs>
        <w:jc w:val="both"/>
        <w:rPr>
          <w:rFonts w:cs="Arial"/>
          <w:b/>
          <w:sz w:val="16"/>
          <w:szCs w:val="16"/>
        </w:rPr>
      </w:pPr>
    </w:p>
    <w:p w:rsidR="001614A1" w:rsidRPr="004227ED" w:rsidRDefault="001614A1" w:rsidP="001614A1">
      <w:pPr>
        <w:tabs>
          <w:tab w:val="left" w:pos="900"/>
        </w:tabs>
        <w:jc w:val="both"/>
        <w:rPr>
          <w:rFonts w:cs="Arial"/>
          <w:b/>
          <w:sz w:val="16"/>
          <w:szCs w:val="16"/>
        </w:rPr>
      </w:pPr>
      <w:r w:rsidRPr="004227ED">
        <w:rPr>
          <w:rFonts w:cs="Arial"/>
          <w:b/>
          <w:sz w:val="16"/>
          <w:szCs w:val="16"/>
        </w:rPr>
        <w:t>Art. 269</w:t>
      </w:r>
      <w:r>
        <w:rPr>
          <w:rFonts w:cs="Arial"/>
          <w:b/>
          <w:sz w:val="16"/>
          <w:szCs w:val="16"/>
        </w:rPr>
        <w:tab/>
        <w:t>Missbräuchliche Mietzinse</w:t>
      </w:r>
    </w:p>
    <w:p w:rsidR="001614A1" w:rsidRDefault="001614A1" w:rsidP="001614A1">
      <w:pPr>
        <w:jc w:val="both"/>
        <w:rPr>
          <w:rFonts w:cs="Arial"/>
          <w:sz w:val="16"/>
          <w:szCs w:val="16"/>
        </w:rPr>
      </w:pPr>
      <w:r w:rsidRPr="004227ED">
        <w:rPr>
          <w:rFonts w:cs="Arial"/>
          <w:sz w:val="16"/>
          <w:szCs w:val="16"/>
        </w:rPr>
        <w:t>Mietzinse sind missbräuchlich, wenn damit ein übersetzter Ertrag aus der Mietsache erzielt wird oder wenn sie auf einem offensichtlich übersetzten Kaufpreis beruhen.</w:t>
      </w:r>
    </w:p>
    <w:p w:rsidR="001614A1" w:rsidRDefault="001614A1" w:rsidP="001614A1">
      <w:pPr>
        <w:jc w:val="both"/>
        <w:rPr>
          <w:rFonts w:cs="Arial"/>
          <w:sz w:val="16"/>
          <w:szCs w:val="16"/>
        </w:rPr>
      </w:pPr>
    </w:p>
    <w:p w:rsidR="001614A1" w:rsidRPr="004227ED" w:rsidRDefault="001614A1" w:rsidP="001614A1">
      <w:pPr>
        <w:tabs>
          <w:tab w:val="left" w:pos="900"/>
        </w:tabs>
        <w:jc w:val="both"/>
        <w:rPr>
          <w:rFonts w:cs="Arial"/>
          <w:b/>
          <w:sz w:val="16"/>
          <w:szCs w:val="16"/>
        </w:rPr>
      </w:pPr>
      <w:r w:rsidRPr="004227ED">
        <w:rPr>
          <w:rFonts w:cs="Arial"/>
          <w:b/>
          <w:sz w:val="16"/>
          <w:szCs w:val="16"/>
        </w:rPr>
        <w:t>Art. 269a</w:t>
      </w:r>
      <w:r>
        <w:rPr>
          <w:rFonts w:cs="Arial"/>
          <w:b/>
          <w:sz w:val="16"/>
          <w:szCs w:val="16"/>
        </w:rPr>
        <w:tab/>
        <w:t>A</w:t>
      </w:r>
      <w:r w:rsidRPr="004227ED">
        <w:rPr>
          <w:rFonts w:cs="Arial"/>
          <w:b/>
          <w:sz w:val="16"/>
          <w:szCs w:val="16"/>
        </w:rPr>
        <w:t>usnahmen</w:t>
      </w:r>
      <w:r>
        <w:rPr>
          <w:rFonts w:cs="Arial"/>
          <w:b/>
          <w:sz w:val="16"/>
          <w:szCs w:val="16"/>
        </w:rPr>
        <w:t xml:space="preserve"> von missbräuchlichen Mietzinsen</w:t>
      </w:r>
    </w:p>
    <w:p w:rsidR="001614A1" w:rsidRPr="004227ED" w:rsidRDefault="001614A1" w:rsidP="001614A1">
      <w:pPr>
        <w:jc w:val="both"/>
        <w:rPr>
          <w:rFonts w:cs="Arial"/>
          <w:sz w:val="16"/>
          <w:szCs w:val="16"/>
        </w:rPr>
      </w:pPr>
      <w:r w:rsidRPr="004227ED">
        <w:rPr>
          <w:rFonts w:cs="Arial"/>
          <w:sz w:val="16"/>
          <w:szCs w:val="16"/>
        </w:rPr>
        <w:t>Mietzinse sind in der Regel nicht missbräuchlich, wenn sie insbesondere:</w:t>
      </w:r>
    </w:p>
    <w:p w:rsidR="001614A1" w:rsidRPr="004227ED" w:rsidRDefault="001614A1" w:rsidP="001614A1">
      <w:pPr>
        <w:jc w:val="both"/>
        <w:rPr>
          <w:rFonts w:cs="Arial"/>
          <w:sz w:val="16"/>
          <w:szCs w:val="16"/>
        </w:rPr>
      </w:pPr>
      <w:r w:rsidRPr="004227ED">
        <w:rPr>
          <w:rFonts w:cs="Arial"/>
          <w:sz w:val="16"/>
          <w:szCs w:val="16"/>
        </w:rPr>
        <w:t>a. im Rahmen der orts- und quartierüblichen Mietzinse liegen;</w:t>
      </w:r>
    </w:p>
    <w:p w:rsidR="001614A1" w:rsidRPr="004227ED" w:rsidRDefault="001614A1" w:rsidP="001614A1">
      <w:pPr>
        <w:jc w:val="both"/>
        <w:rPr>
          <w:rFonts w:cs="Arial"/>
          <w:sz w:val="16"/>
          <w:szCs w:val="16"/>
        </w:rPr>
      </w:pPr>
      <w:r w:rsidRPr="004227ED">
        <w:rPr>
          <w:rFonts w:cs="Arial"/>
          <w:sz w:val="16"/>
          <w:szCs w:val="16"/>
        </w:rPr>
        <w:t>b. durch Kostensteigerungen oder Mehrleistungen des Vermieters begründet sind;</w:t>
      </w:r>
    </w:p>
    <w:p w:rsidR="001614A1" w:rsidRPr="004227ED" w:rsidRDefault="001614A1" w:rsidP="001614A1">
      <w:pPr>
        <w:jc w:val="both"/>
        <w:rPr>
          <w:rFonts w:cs="Arial"/>
          <w:sz w:val="16"/>
          <w:szCs w:val="16"/>
        </w:rPr>
      </w:pPr>
      <w:r w:rsidRPr="004227ED">
        <w:rPr>
          <w:rFonts w:cs="Arial"/>
          <w:sz w:val="16"/>
          <w:szCs w:val="16"/>
        </w:rPr>
        <w:t>c. bei neueren Bauten im Rahmen der kostendeckenden Bruttorendite liegen;</w:t>
      </w:r>
    </w:p>
    <w:p w:rsidR="001614A1" w:rsidRPr="004227ED" w:rsidRDefault="001614A1" w:rsidP="001614A1">
      <w:pPr>
        <w:jc w:val="both"/>
        <w:rPr>
          <w:rFonts w:cs="Arial"/>
          <w:sz w:val="16"/>
          <w:szCs w:val="16"/>
        </w:rPr>
      </w:pPr>
      <w:r w:rsidRPr="004227ED">
        <w:rPr>
          <w:rFonts w:cs="Arial"/>
          <w:sz w:val="16"/>
          <w:szCs w:val="16"/>
        </w:rPr>
        <w:t>d. lediglich dem Ausgleich einer Mietzinsverbilligung dienen, die zuvor durch Umlagerung marktüblicher Finanzierungskosten gew</w:t>
      </w:r>
      <w:r>
        <w:rPr>
          <w:rFonts w:cs="Arial"/>
          <w:sz w:val="16"/>
          <w:szCs w:val="16"/>
        </w:rPr>
        <w:t>a</w:t>
      </w:r>
      <w:r w:rsidRPr="004227ED">
        <w:rPr>
          <w:rFonts w:cs="Arial"/>
          <w:sz w:val="16"/>
          <w:szCs w:val="16"/>
        </w:rPr>
        <w:t>hrt wurde, und in einem dem Mieter im Voraus bekanntgegebenen Zahlungsplan festgelegt sind;</w:t>
      </w:r>
    </w:p>
    <w:p w:rsidR="001614A1" w:rsidRPr="004227ED" w:rsidRDefault="001614A1" w:rsidP="001614A1">
      <w:pPr>
        <w:jc w:val="both"/>
        <w:rPr>
          <w:rFonts w:cs="Arial"/>
          <w:sz w:val="16"/>
          <w:szCs w:val="16"/>
        </w:rPr>
      </w:pPr>
      <w:r w:rsidRPr="004227ED">
        <w:rPr>
          <w:rFonts w:cs="Arial"/>
          <w:sz w:val="16"/>
          <w:szCs w:val="16"/>
        </w:rPr>
        <w:t>e. lediglich die Teuerung auf dem risikotragenden Kapital ausgleichen;</w:t>
      </w:r>
    </w:p>
    <w:p w:rsidR="001614A1" w:rsidRPr="004227ED" w:rsidRDefault="001614A1" w:rsidP="001614A1">
      <w:pPr>
        <w:jc w:val="both"/>
        <w:rPr>
          <w:rFonts w:cs="Arial"/>
          <w:sz w:val="16"/>
          <w:szCs w:val="16"/>
        </w:rPr>
      </w:pPr>
      <w:r w:rsidRPr="004227ED">
        <w:rPr>
          <w:rFonts w:cs="Arial"/>
          <w:sz w:val="16"/>
          <w:szCs w:val="16"/>
        </w:rPr>
        <w:t xml:space="preserve">f. das Ausmass nicht überschreiten, das Vermieter- und Mieterverbände oder Organisationen, die ähnliche Interessen wahrnehmen, in </w:t>
      </w:r>
      <w:proofErr w:type="gramStart"/>
      <w:r w:rsidRPr="004227ED">
        <w:rPr>
          <w:rFonts w:cs="Arial"/>
          <w:sz w:val="16"/>
          <w:szCs w:val="16"/>
        </w:rPr>
        <w:t>ihrer Rahmenverträgen</w:t>
      </w:r>
      <w:proofErr w:type="gramEnd"/>
      <w:r w:rsidRPr="004227ED">
        <w:rPr>
          <w:rFonts w:cs="Arial"/>
          <w:sz w:val="16"/>
          <w:szCs w:val="16"/>
        </w:rPr>
        <w:t xml:space="preserve"> empfehlen.</w:t>
      </w:r>
    </w:p>
    <w:p w:rsidR="001614A1" w:rsidRPr="004227ED" w:rsidRDefault="001614A1" w:rsidP="001614A1">
      <w:pPr>
        <w:jc w:val="both"/>
        <w:rPr>
          <w:rFonts w:cs="Arial"/>
          <w:sz w:val="16"/>
          <w:szCs w:val="16"/>
        </w:rPr>
      </w:pPr>
    </w:p>
    <w:p w:rsidR="001614A1" w:rsidRPr="004227ED" w:rsidRDefault="001614A1" w:rsidP="001614A1">
      <w:pPr>
        <w:tabs>
          <w:tab w:val="left" w:pos="900"/>
        </w:tabs>
        <w:jc w:val="both"/>
        <w:rPr>
          <w:rFonts w:cs="Arial"/>
          <w:b/>
          <w:sz w:val="16"/>
          <w:szCs w:val="16"/>
        </w:rPr>
      </w:pPr>
      <w:r w:rsidRPr="004227ED">
        <w:rPr>
          <w:rFonts w:cs="Arial"/>
          <w:b/>
          <w:sz w:val="16"/>
          <w:szCs w:val="16"/>
        </w:rPr>
        <w:t>Art. 269b</w:t>
      </w:r>
      <w:r>
        <w:rPr>
          <w:rFonts w:cs="Arial"/>
          <w:b/>
          <w:sz w:val="16"/>
          <w:szCs w:val="16"/>
        </w:rPr>
        <w:t xml:space="preserve"> </w:t>
      </w:r>
      <w:r>
        <w:rPr>
          <w:rFonts w:cs="Arial"/>
          <w:b/>
          <w:sz w:val="16"/>
          <w:szCs w:val="16"/>
        </w:rPr>
        <w:tab/>
      </w:r>
      <w:r w:rsidRPr="004227ED">
        <w:rPr>
          <w:rFonts w:cs="Arial"/>
          <w:b/>
          <w:sz w:val="16"/>
          <w:szCs w:val="16"/>
        </w:rPr>
        <w:t>Indexierte Mietzinse</w:t>
      </w:r>
    </w:p>
    <w:p w:rsidR="001614A1" w:rsidRPr="004227ED" w:rsidRDefault="001614A1" w:rsidP="001614A1">
      <w:pPr>
        <w:jc w:val="both"/>
        <w:rPr>
          <w:rFonts w:cs="Arial"/>
          <w:sz w:val="16"/>
          <w:szCs w:val="16"/>
        </w:rPr>
      </w:pPr>
      <w:r w:rsidRPr="004227ED">
        <w:rPr>
          <w:rFonts w:cs="Arial"/>
          <w:sz w:val="16"/>
          <w:szCs w:val="16"/>
        </w:rPr>
        <w:t>Die Vereinbarung, dass der Mietzins einem Index folgt, ist nur gültig, wenn der Mietvertrag für mindestens fünf Jahre abgeschlossen und als Index der Landesindex der Konsumentenpreise vorgesehen wird.</w:t>
      </w:r>
    </w:p>
    <w:p w:rsidR="001614A1" w:rsidRPr="004227ED" w:rsidRDefault="001614A1" w:rsidP="001614A1">
      <w:pPr>
        <w:jc w:val="both"/>
        <w:rPr>
          <w:rFonts w:cs="Arial"/>
          <w:sz w:val="16"/>
          <w:szCs w:val="16"/>
        </w:rPr>
      </w:pPr>
    </w:p>
    <w:p w:rsidR="001614A1" w:rsidRDefault="001614A1" w:rsidP="001614A1">
      <w:pPr>
        <w:tabs>
          <w:tab w:val="left" w:pos="900"/>
        </w:tabs>
        <w:ind w:left="900" w:hanging="900"/>
        <w:jc w:val="both"/>
        <w:rPr>
          <w:rFonts w:cs="Arial"/>
          <w:b/>
          <w:sz w:val="16"/>
          <w:szCs w:val="16"/>
        </w:rPr>
      </w:pPr>
      <w:r>
        <w:rPr>
          <w:rFonts w:cs="Arial"/>
          <w:b/>
          <w:sz w:val="16"/>
          <w:szCs w:val="16"/>
        </w:rPr>
        <w:t>Art. 269d</w:t>
      </w:r>
      <w:r>
        <w:rPr>
          <w:rFonts w:cs="Arial"/>
          <w:b/>
          <w:sz w:val="16"/>
          <w:szCs w:val="16"/>
        </w:rPr>
        <w:tab/>
        <w:t>Mietzinserhöhungen und andere einseitige Vertragsänderungen durch den Vermieter</w:t>
      </w:r>
    </w:p>
    <w:p w:rsidR="001614A1" w:rsidRPr="004227ED" w:rsidRDefault="001614A1" w:rsidP="001614A1">
      <w:pPr>
        <w:jc w:val="both"/>
        <w:rPr>
          <w:rFonts w:cs="Arial"/>
          <w:sz w:val="16"/>
          <w:szCs w:val="16"/>
        </w:rPr>
      </w:pPr>
      <w:r w:rsidRPr="00A65ADF">
        <w:rPr>
          <w:rFonts w:cs="Arial"/>
          <w:sz w:val="16"/>
          <w:szCs w:val="16"/>
          <w:vertAlign w:val="superscript"/>
        </w:rPr>
        <w:t>1</w:t>
      </w:r>
      <w:r w:rsidRPr="004227ED">
        <w:rPr>
          <w:rFonts w:cs="Arial"/>
          <w:sz w:val="16"/>
          <w:szCs w:val="16"/>
        </w:rPr>
        <w:t xml:space="preserve"> Der Vermieter kann den Mietzins jederzeit auf den nächstmöglichen Kündigungstermin erhöhen. Er muss dem Mieter die Mietzinserhöhung mindestens zehn Tage vor Beginn der Kündigungsfrist auf einem vom Kanton genehmigten Formular mitteilen und begründen.</w:t>
      </w:r>
    </w:p>
    <w:p w:rsidR="001614A1" w:rsidRPr="004227ED" w:rsidRDefault="001614A1" w:rsidP="001614A1">
      <w:pPr>
        <w:jc w:val="both"/>
        <w:rPr>
          <w:rFonts w:cs="Arial"/>
          <w:sz w:val="16"/>
          <w:szCs w:val="16"/>
        </w:rPr>
      </w:pPr>
      <w:r w:rsidRPr="00A65ADF">
        <w:rPr>
          <w:rFonts w:cs="Arial"/>
          <w:sz w:val="16"/>
          <w:szCs w:val="16"/>
          <w:vertAlign w:val="superscript"/>
        </w:rPr>
        <w:t>2</w:t>
      </w:r>
      <w:r w:rsidRPr="004227ED">
        <w:rPr>
          <w:rFonts w:cs="Arial"/>
          <w:sz w:val="16"/>
          <w:szCs w:val="16"/>
        </w:rPr>
        <w:t xml:space="preserve"> Die Mietzinserhöhung ist nichtig, wenn der Vermieter:</w:t>
      </w:r>
    </w:p>
    <w:p w:rsidR="001614A1" w:rsidRPr="004227ED" w:rsidRDefault="001614A1" w:rsidP="001614A1">
      <w:pPr>
        <w:jc w:val="both"/>
        <w:rPr>
          <w:rFonts w:cs="Arial"/>
          <w:sz w:val="16"/>
          <w:szCs w:val="16"/>
        </w:rPr>
      </w:pPr>
      <w:r w:rsidRPr="004227ED">
        <w:rPr>
          <w:rFonts w:cs="Arial"/>
          <w:sz w:val="16"/>
          <w:szCs w:val="16"/>
        </w:rPr>
        <w:t>a. sie nicht mit dem vorgeschriebenen Formular mitteilt;</w:t>
      </w:r>
    </w:p>
    <w:p w:rsidR="001614A1" w:rsidRPr="004227ED" w:rsidRDefault="001614A1" w:rsidP="001614A1">
      <w:pPr>
        <w:jc w:val="both"/>
        <w:rPr>
          <w:rFonts w:cs="Arial"/>
          <w:sz w:val="16"/>
          <w:szCs w:val="16"/>
        </w:rPr>
      </w:pPr>
      <w:r w:rsidRPr="004227ED">
        <w:rPr>
          <w:rFonts w:cs="Arial"/>
          <w:sz w:val="16"/>
          <w:szCs w:val="16"/>
        </w:rPr>
        <w:t>b. sie nicht begründet;</w:t>
      </w:r>
    </w:p>
    <w:p w:rsidR="001614A1" w:rsidRPr="004227ED" w:rsidRDefault="001614A1" w:rsidP="001614A1">
      <w:pPr>
        <w:jc w:val="both"/>
        <w:rPr>
          <w:rFonts w:cs="Arial"/>
          <w:sz w:val="16"/>
          <w:szCs w:val="16"/>
        </w:rPr>
      </w:pPr>
      <w:r w:rsidRPr="004227ED">
        <w:rPr>
          <w:rFonts w:cs="Arial"/>
          <w:sz w:val="16"/>
          <w:szCs w:val="16"/>
        </w:rPr>
        <w:t>c. mit der Mitteilung die Kündigung androht oder ausspricht.</w:t>
      </w:r>
    </w:p>
    <w:p w:rsidR="001614A1" w:rsidRPr="004227ED" w:rsidRDefault="001614A1" w:rsidP="001614A1">
      <w:pPr>
        <w:jc w:val="both"/>
        <w:rPr>
          <w:rFonts w:cs="Arial"/>
          <w:sz w:val="16"/>
          <w:szCs w:val="16"/>
        </w:rPr>
      </w:pPr>
      <w:r w:rsidRPr="00A65ADF">
        <w:rPr>
          <w:rFonts w:cs="Arial"/>
          <w:sz w:val="16"/>
          <w:szCs w:val="16"/>
          <w:vertAlign w:val="superscript"/>
        </w:rPr>
        <w:t>3</w:t>
      </w:r>
      <w:r w:rsidRPr="004227ED">
        <w:rPr>
          <w:rFonts w:cs="Arial"/>
          <w:sz w:val="16"/>
          <w:szCs w:val="16"/>
        </w:rPr>
        <w:t xml:space="preserve"> Die Absätze 1 und 2 gelten auch, wenn der Vermieter beabsichtigt, </w:t>
      </w:r>
      <w:proofErr w:type="spellStart"/>
      <w:r w:rsidRPr="004227ED">
        <w:rPr>
          <w:rFonts w:cs="Arial"/>
          <w:sz w:val="16"/>
          <w:szCs w:val="16"/>
        </w:rPr>
        <w:t>sonstwie</w:t>
      </w:r>
      <w:proofErr w:type="spellEnd"/>
      <w:r w:rsidRPr="004227ED">
        <w:rPr>
          <w:rFonts w:cs="Arial"/>
          <w:sz w:val="16"/>
          <w:szCs w:val="16"/>
        </w:rPr>
        <w:t xml:space="preserve"> den Mietvertrag einseitig zu Lasten des Mieters zu ändern, namentlich seine bisherigen Leistungen zu vermindern oder neue Nebenkosten einzuführen.</w:t>
      </w:r>
    </w:p>
    <w:p w:rsidR="001614A1" w:rsidRDefault="001614A1" w:rsidP="001614A1">
      <w:pPr>
        <w:jc w:val="both"/>
        <w:rPr>
          <w:rFonts w:cs="Arial"/>
          <w:b/>
          <w:sz w:val="16"/>
          <w:szCs w:val="16"/>
        </w:rPr>
      </w:pPr>
    </w:p>
    <w:p w:rsidR="001614A1" w:rsidRPr="00654935" w:rsidRDefault="001614A1" w:rsidP="001614A1">
      <w:pPr>
        <w:tabs>
          <w:tab w:val="left" w:pos="900"/>
        </w:tabs>
        <w:ind w:left="900" w:hanging="900"/>
        <w:jc w:val="both"/>
        <w:rPr>
          <w:rFonts w:cs="Arial"/>
          <w:b/>
          <w:sz w:val="16"/>
          <w:szCs w:val="16"/>
        </w:rPr>
      </w:pPr>
      <w:r>
        <w:rPr>
          <w:rFonts w:cs="Arial"/>
          <w:b/>
          <w:sz w:val="16"/>
          <w:szCs w:val="16"/>
        </w:rPr>
        <w:t>Art. 270b</w:t>
      </w:r>
      <w:r>
        <w:rPr>
          <w:rFonts w:cs="Arial"/>
          <w:b/>
          <w:sz w:val="16"/>
          <w:szCs w:val="16"/>
        </w:rPr>
        <w:tab/>
      </w:r>
      <w:r w:rsidRPr="00654935">
        <w:rPr>
          <w:rFonts w:cs="Arial"/>
          <w:b/>
          <w:sz w:val="16"/>
          <w:szCs w:val="16"/>
        </w:rPr>
        <w:t>Anfechtung von Mietzinserhöhungen und andern einseitigen Vertragsänderungen</w:t>
      </w:r>
    </w:p>
    <w:p w:rsidR="001614A1" w:rsidRPr="00654935" w:rsidRDefault="001614A1" w:rsidP="001614A1">
      <w:pPr>
        <w:jc w:val="both"/>
        <w:rPr>
          <w:rFonts w:cs="Arial"/>
          <w:b/>
          <w:bCs/>
          <w:sz w:val="16"/>
          <w:szCs w:val="16"/>
        </w:rPr>
      </w:pPr>
      <w:r w:rsidRPr="00A65ADF">
        <w:rPr>
          <w:rFonts w:cs="Arial"/>
          <w:sz w:val="16"/>
          <w:szCs w:val="16"/>
          <w:vertAlign w:val="superscript"/>
        </w:rPr>
        <w:t>1</w:t>
      </w:r>
      <w:r>
        <w:rPr>
          <w:rFonts w:cs="Arial"/>
          <w:sz w:val="16"/>
          <w:szCs w:val="16"/>
        </w:rPr>
        <w:t xml:space="preserve"> </w:t>
      </w:r>
      <w:r w:rsidRPr="00654935">
        <w:rPr>
          <w:rFonts w:cs="Arial"/>
          <w:sz w:val="16"/>
          <w:szCs w:val="16"/>
        </w:rPr>
        <w:t>Der Mieter kann eine Mietzinserhöhung innert 30 Tagen, nachdem sie ihm mitgeteilt worden ist, bei der Schlichtungsbehörde als missbräuchlich im Sinne der Artikel 269 und 269a anfechten.</w:t>
      </w:r>
    </w:p>
    <w:p w:rsidR="001614A1" w:rsidRDefault="001614A1" w:rsidP="001614A1">
      <w:pPr>
        <w:jc w:val="both"/>
        <w:rPr>
          <w:rFonts w:cs="Arial"/>
          <w:sz w:val="16"/>
          <w:szCs w:val="16"/>
        </w:rPr>
      </w:pPr>
      <w:r w:rsidRPr="00A65ADF">
        <w:rPr>
          <w:rFonts w:cs="Arial"/>
          <w:sz w:val="16"/>
          <w:szCs w:val="16"/>
          <w:vertAlign w:val="superscript"/>
        </w:rPr>
        <w:t>2</w:t>
      </w:r>
      <w:r>
        <w:rPr>
          <w:rFonts w:cs="Arial"/>
          <w:sz w:val="16"/>
          <w:szCs w:val="16"/>
        </w:rPr>
        <w:t xml:space="preserve"> </w:t>
      </w:r>
      <w:r w:rsidRPr="00654935">
        <w:rPr>
          <w:rFonts w:cs="Arial"/>
          <w:sz w:val="16"/>
          <w:szCs w:val="16"/>
        </w:rPr>
        <w:t xml:space="preserve">Absatz 1 gilt auch, wenn der Vermieter </w:t>
      </w:r>
      <w:proofErr w:type="spellStart"/>
      <w:r w:rsidRPr="00654935">
        <w:rPr>
          <w:rFonts w:cs="Arial"/>
          <w:sz w:val="16"/>
          <w:szCs w:val="16"/>
        </w:rPr>
        <w:t>sonstwie</w:t>
      </w:r>
      <w:proofErr w:type="spellEnd"/>
      <w:r w:rsidRPr="00654935">
        <w:rPr>
          <w:rFonts w:cs="Arial"/>
          <w:sz w:val="16"/>
          <w:szCs w:val="16"/>
        </w:rPr>
        <w:t xml:space="preserve"> den Mietvertrag einseitig zu Lasten des Mieters ändert, namentlich seine bisherigen Leistungen vermindert oder neue Nebenkosten einführt.</w:t>
      </w:r>
    </w:p>
    <w:p w:rsidR="001614A1" w:rsidRDefault="001614A1" w:rsidP="001614A1">
      <w:pPr>
        <w:jc w:val="both"/>
        <w:rPr>
          <w:rFonts w:cs="Arial"/>
          <w:sz w:val="16"/>
          <w:szCs w:val="16"/>
        </w:rPr>
      </w:pPr>
    </w:p>
    <w:p w:rsidR="001614A1" w:rsidRPr="00654935" w:rsidRDefault="001614A1" w:rsidP="001614A1">
      <w:pPr>
        <w:tabs>
          <w:tab w:val="left" w:pos="900"/>
        </w:tabs>
        <w:jc w:val="both"/>
        <w:rPr>
          <w:rFonts w:cs="Arial"/>
          <w:b/>
          <w:sz w:val="16"/>
          <w:szCs w:val="16"/>
        </w:rPr>
      </w:pPr>
      <w:r w:rsidRPr="00654935">
        <w:rPr>
          <w:rFonts w:cs="Arial"/>
          <w:b/>
          <w:sz w:val="16"/>
          <w:szCs w:val="16"/>
        </w:rPr>
        <w:t>Art. 270c</w:t>
      </w:r>
      <w:r>
        <w:rPr>
          <w:rFonts w:cs="Arial"/>
          <w:b/>
          <w:sz w:val="16"/>
          <w:szCs w:val="16"/>
        </w:rPr>
        <w:t xml:space="preserve"> </w:t>
      </w:r>
      <w:r>
        <w:rPr>
          <w:rFonts w:cs="Arial"/>
          <w:b/>
          <w:sz w:val="16"/>
          <w:szCs w:val="16"/>
        </w:rPr>
        <w:tab/>
      </w:r>
      <w:r w:rsidRPr="00654935">
        <w:rPr>
          <w:rFonts w:cs="Arial"/>
          <w:b/>
          <w:sz w:val="16"/>
          <w:szCs w:val="16"/>
        </w:rPr>
        <w:t>Anfechtung indexierter Mietzinse</w:t>
      </w:r>
    </w:p>
    <w:p w:rsidR="001614A1" w:rsidRPr="00654935" w:rsidRDefault="001614A1" w:rsidP="001614A1">
      <w:pPr>
        <w:jc w:val="both"/>
        <w:rPr>
          <w:rFonts w:cs="Arial"/>
          <w:b/>
          <w:bCs/>
          <w:sz w:val="16"/>
          <w:szCs w:val="16"/>
        </w:rPr>
      </w:pPr>
      <w:r w:rsidRPr="00654935">
        <w:rPr>
          <w:rFonts w:cs="Arial"/>
          <w:sz w:val="16"/>
          <w:szCs w:val="16"/>
        </w:rPr>
        <w:t>Unter Vorbehalt der Anfechtung des Anfangsmietzinses kann eine Partei vor der Schlichtungsbehörde nur geltend machen, dass die von der andern Partei verlangte Erhöhung oder Herabsetzung des Mietzinses durch keine entsprechende Änderung des Indexes gerechtfertigt sei.</w:t>
      </w:r>
    </w:p>
    <w:p w:rsidR="001614A1" w:rsidRPr="00654935" w:rsidRDefault="001614A1" w:rsidP="001614A1">
      <w:pPr>
        <w:jc w:val="both"/>
        <w:rPr>
          <w:rFonts w:cs="Arial"/>
          <w:sz w:val="16"/>
          <w:szCs w:val="16"/>
        </w:rPr>
      </w:pPr>
    </w:p>
    <w:p w:rsidR="001614A1" w:rsidRPr="00654935" w:rsidRDefault="001614A1" w:rsidP="001614A1">
      <w:pPr>
        <w:tabs>
          <w:tab w:val="left" w:pos="900"/>
        </w:tabs>
        <w:ind w:left="900" w:hanging="900"/>
        <w:jc w:val="both"/>
        <w:rPr>
          <w:rFonts w:cs="Arial"/>
          <w:b/>
          <w:sz w:val="16"/>
          <w:szCs w:val="16"/>
        </w:rPr>
      </w:pPr>
      <w:r w:rsidRPr="00654935">
        <w:rPr>
          <w:rFonts w:cs="Arial"/>
          <w:b/>
          <w:sz w:val="16"/>
          <w:szCs w:val="16"/>
        </w:rPr>
        <w:t>Art. 270e</w:t>
      </w:r>
      <w:r>
        <w:rPr>
          <w:rFonts w:cs="Arial"/>
          <w:b/>
          <w:sz w:val="16"/>
          <w:szCs w:val="16"/>
        </w:rPr>
        <w:tab/>
      </w:r>
      <w:r w:rsidRPr="00654935">
        <w:rPr>
          <w:rFonts w:cs="Arial"/>
          <w:b/>
          <w:sz w:val="16"/>
          <w:szCs w:val="16"/>
        </w:rPr>
        <w:t>Weitergeltung des Mietvertrages während des Anfechtungsverfahrens</w:t>
      </w:r>
    </w:p>
    <w:p w:rsidR="001614A1" w:rsidRPr="00654935" w:rsidRDefault="001614A1" w:rsidP="001614A1">
      <w:pPr>
        <w:jc w:val="both"/>
        <w:rPr>
          <w:rFonts w:cs="Arial"/>
          <w:sz w:val="16"/>
          <w:szCs w:val="16"/>
        </w:rPr>
      </w:pPr>
      <w:r w:rsidRPr="00654935">
        <w:rPr>
          <w:rFonts w:cs="Arial"/>
          <w:sz w:val="16"/>
          <w:szCs w:val="16"/>
        </w:rPr>
        <w:t xml:space="preserve">Der bestehende Mietvertrag gilt unverändert weiter: </w:t>
      </w:r>
    </w:p>
    <w:p w:rsidR="001614A1" w:rsidRPr="00654935" w:rsidRDefault="001614A1" w:rsidP="001614A1">
      <w:pPr>
        <w:numPr>
          <w:ilvl w:val="0"/>
          <w:numId w:val="2"/>
        </w:numPr>
        <w:tabs>
          <w:tab w:val="clear" w:pos="720"/>
          <w:tab w:val="num" w:pos="180"/>
        </w:tabs>
        <w:ind w:left="0" w:firstLine="0"/>
        <w:jc w:val="both"/>
        <w:rPr>
          <w:rFonts w:cs="Arial"/>
          <w:sz w:val="16"/>
          <w:szCs w:val="16"/>
        </w:rPr>
      </w:pPr>
      <w:r w:rsidRPr="00654935">
        <w:rPr>
          <w:rFonts w:cs="Arial"/>
          <w:sz w:val="16"/>
          <w:szCs w:val="16"/>
        </w:rPr>
        <w:t xml:space="preserve">während des Schlichtungsverfahrens, wenn zwischen den Parteien keine Einigung </w:t>
      </w:r>
      <w:proofErr w:type="spellStart"/>
      <w:r w:rsidRPr="00654935">
        <w:rPr>
          <w:rFonts w:cs="Arial"/>
          <w:sz w:val="16"/>
          <w:szCs w:val="16"/>
        </w:rPr>
        <w:t>zustandekommt</w:t>
      </w:r>
      <w:proofErr w:type="spellEnd"/>
      <w:r w:rsidRPr="00654935">
        <w:rPr>
          <w:rFonts w:cs="Arial"/>
          <w:sz w:val="16"/>
          <w:szCs w:val="16"/>
        </w:rPr>
        <w:t>, und</w:t>
      </w:r>
    </w:p>
    <w:p w:rsidR="001614A1" w:rsidRPr="002C7E05" w:rsidRDefault="001614A1" w:rsidP="001614A1">
      <w:pPr>
        <w:numPr>
          <w:ilvl w:val="0"/>
          <w:numId w:val="2"/>
        </w:numPr>
        <w:tabs>
          <w:tab w:val="clear" w:pos="720"/>
          <w:tab w:val="num" w:pos="180"/>
        </w:tabs>
        <w:ind w:left="0" w:firstLine="0"/>
        <w:jc w:val="both"/>
        <w:rPr>
          <w:rFonts w:cs="Arial"/>
          <w:sz w:val="16"/>
          <w:szCs w:val="16"/>
        </w:rPr>
      </w:pPr>
      <w:r w:rsidRPr="00654935">
        <w:rPr>
          <w:rFonts w:cs="Arial"/>
          <w:sz w:val="16"/>
          <w:szCs w:val="16"/>
        </w:rPr>
        <w:t>während des Gerichtsverfahrens, unter Vorbehalt vorsorglicher Massnahmen des Richters.</w:t>
      </w:r>
    </w:p>
    <w:p w:rsidR="001614A1" w:rsidRDefault="001614A1" w:rsidP="001614A1">
      <w:pPr>
        <w:jc w:val="both"/>
        <w:rPr>
          <w:rFonts w:cs="Arial"/>
          <w:sz w:val="16"/>
          <w:szCs w:val="16"/>
        </w:rPr>
      </w:pPr>
      <w:r w:rsidRPr="00C03FFE">
        <w:rPr>
          <w:rFonts w:cs="Arial"/>
          <w:sz w:val="16"/>
          <w:szCs w:val="16"/>
        </w:rPr>
        <w:t xml:space="preserve">Weitere massgebende Artikel sind: Artikel 253b, </w:t>
      </w:r>
      <w:r>
        <w:rPr>
          <w:rFonts w:cs="Arial"/>
          <w:sz w:val="16"/>
          <w:szCs w:val="16"/>
        </w:rPr>
        <w:t>269c und 270d OR.</w:t>
      </w:r>
    </w:p>
    <w:p w:rsidR="00F1312E" w:rsidRDefault="00F1312E" w:rsidP="001614A1">
      <w:pPr>
        <w:jc w:val="both"/>
        <w:rPr>
          <w:rFonts w:cs="Arial"/>
          <w:sz w:val="16"/>
          <w:szCs w:val="16"/>
        </w:rPr>
      </w:pPr>
    </w:p>
    <w:p w:rsidR="00F1312E" w:rsidRDefault="00F1312E" w:rsidP="001614A1">
      <w:pPr>
        <w:jc w:val="both"/>
        <w:rPr>
          <w:rFonts w:cs="Arial"/>
          <w:sz w:val="16"/>
          <w:szCs w:val="16"/>
        </w:rPr>
      </w:pPr>
    </w:p>
    <w:p w:rsidR="00F1312E" w:rsidRDefault="00F1312E" w:rsidP="001614A1">
      <w:pPr>
        <w:jc w:val="both"/>
        <w:rPr>
          <w:rFonts w:cs="Arial"/>
          <w:sz w:val="16"/>
          <w:szCs w:val="16"/>
        </w:rPr>
      </w:pPr>
      <w:bookmarkStart w:id="82" w:name="_GoBack"/>
      <w:bookmarkEnd w:id="82"/>
    </w:p>
    <w:p w:rsidR="001614A1" w:rsidRPr="004227ED" w:rsidRDefault="001614A1" w:rsidP="001614A1">
      <w:pPr>
        <w:pBdr>
          <w:top w:val="single" w:sz="4" w:space="1" w:color="auto"/>
          <w:left w:val="single" w:sz="4" w:space="4" w:color="auto"/>
          <w:bottom w:val="single" w:sz="4" w:space="1" w:color="auto"/>
          <w:right w:val="single" w:sz="4" w:space="4" w:color="auto"/>
        </w:pBdr>
        <w:jc w:val="both"/>
        <w:rPr>
          <w:rFonts w:cs="Arial"/>
          <w:b/>
          <w:sz w:val="16"/>
          <w:szCs w:val="16"/>
        </w:rPr>
      </w:pPr>
      <w:r w:rsidRPr="004227ED">
        <w:rPr>
          <w:rFonts w:cs="Arial"/>
          <w:b/>
          <w:sz w:val="16"/>
          <w:szCs w:val="16"/>
        </w:rPr>
        <w:t>Auszug aus der Verordnung über Miete und Pacht von Wohn- und Geschäftsräumen</w:t>
      </w:r>
      <w:r>
        <w:rPr>
          <w:rFonts w:cs="Arial"/>
          <w:b/>
          <w:sz w:val="16"/>
          <w:szCs w:val="16"/>
        </w:rPr>
        <w:t xml:space="preserve"> (VMWG)</w:t>
      </w:r>
    </w:p>
    <w:p w:rsidR="001614A1" w:rsidRDefault="001614A1" w:rsidP="001614A1">
      <w:pPr>
        <w:jc w:val="both"/>
        <w:rPr>
          <w:rFonts w:cs="Arial"/>
          <w:sz w:val="16"/>
          <w:szCs w:val="16"/>
        </w:rPr>
      </w:pPr>
    </w:p>
    <w:p w:rsidR="001614A1" w:rsidRPr="004227ED" w:rsidRDefault="001614A1" w:rsidP="001614A1">
      <w:pPr>
        <w:tabs>
          <w:tab w:val="left" w:pos="900"/>
        </w:tabs>
        <w:jc w:val="both"/>
        <w:rPr>
          <w:rFonts w:cs="Arial"/>
          <w:b/>
          <w:sz w:val="16"/>
          <w:szCs w:val="16"/>
        </w:rPr>
      </w:pPr>
      <w:r w:rsidRPr="004227ED">
        <w:rPr>
          <w:rFonts w:cs="Arial"/>
          <w:b/>
          <w:sz w:val="16"/>
          <w:szCs w:val="16"/>
        </w:rPr>
        <w:t>Art. 5</w:t>
      </w:r>
      <w:r>
        <w:rPr>
          <w:rFonts w:cs="Arial"/>
          <w:b/>
          <w:sz w:val="16"/>
          <w:szCs w:val="16"/>
        </w:rPr>
        <w:tab/>
      </w:r>
      <w:r w:rsidRPr="004227ED">
        <w:rPr>
          <w:rFonts w:cs="Arial"/>
          <w:b/>
          <w:sz w:val="16"/>
          <w:szCs w:val="16"/>
        </w:rPr>
        <w:t>Anrechenbare Heizungs- und Warmwasserkosten</w:t>
      </w:r>
    </w:p>
    <w:p w:rsidR="001614A1" w:rsidRPr="004227ED" w:rsidRDefault="001614A1" w:rsidP="001614A1">
      <w:pPr>
        <w:jc w:val="both"/>
        <w:rPr>
          <w:rFonts w:cs="Arial"/>
          <w:sz w:val="16"/>
          <w:szCs w:val="16"/>
        </w:rPr>
      </w:pPr>
      <w:r w:rsidRPr="00A65ADF">
        <w:rPr>
          <w:rFonts w:cs="Arial"/>
          <w:sz w:val="16"/>
          <w:szCs w:val="16"/>
          <w:vertAlign w:val="superscript"/>
        </w:rPr>
        <w:t>1</w:t>
      </w:r>
      <w:r w:rsidRPr="004227ED">
        <w:rPr>
          <w:rFonts w:cs="Arial"/>
          <w:sz w:val="16"/>
          <w:szCs w:val="16"/>
        </w:rPr>
        <w:t xml:space="preserve"> Als Heizungs- und Warmwasserkosten anrechenbar sind die tatsächlichen Aufwendungen, die mit dem Betri</w:t>
      </w:r>
      <w:r>
        <w:rPr>
          <w:rFonts w:cs="Arial"/>
          <w:sz w:val="16"/>
          <w:szCs w:val="16"/>
        </w:rPr>
        <w:t>e</w:t>
      </w:r>
      <w:r w:rsidRPr="004227ED">
        <w:rPr>
          <w:rFonts w:cs="Arial"/>
          <w:sz w:val="16"/>
          <w:szCs w:val="16"/>
        </w:rPr>
        <w:t>b der Heizungsanlage oder der zentralen Warmwasseraufbereitungsanlage direkt zusammenhängen.</w:t>
      </w:r>
    </w:p>
    <w:p w:rsidR="001614A1" w:rsidRPr="004227ED" w:rsidRDefault="001614A1" w:rsidP="001614A1">
      <w:pPr>
        <w:jc w:val="both"/>
        <w:rPr>
          <w:rFonts w:cs="Arial"/>
          <w:sz w:val="16"/>
          <w:szCs w:val="16"/>
        </w:rPr>
      </w:pPr>
      <w:r w:rsidRPr="00A65ADF">
        <w:rPr>
          <w:rFonts w:cs="Arial"/>
          <w:sz w:val="16"/>
          <w:szCs w:val="16"/>
          <w:vertAlign w:val="superscript"/>
        </w:rPr>
        <w:t>2</w:t>
      </w:r>
      <w:r w:rsidRPr="004227ED">
        <w:rPr>
          <w:rFonts w:cs="Arial"/>
          <w:sz w:val="16"/>
          <w:szCs w:val="16"/>
        </w:rPr>
        <w:t xml:space="preserve"> Darunter fallen insbesondere die Aufwendungen für:</w:t>
      </w:r>
    </w:p>
    <w:p w:rsidR="001614A1" w:rsidRPr="004227ED" w:rsidRDefault="001614A1" w:rsidP="001614A1">
      <w:pPr>
        <w:jc w:val="both"/>
        <w:rPr>
          <w:rFonts w:cs="Arial"/>
          <w:sz w:val="16"/>
          <w:szCs w:val="16"/>
        </w:rPr>
      </w:pPr>
      <w:r w:rsidRPr="004227ED">
        <w:rPr>
          <w:rFonts w:cs="Arial"/>
          <w:sz w:val="16"/>
          <w:szCs w:val="16"/>
        </w:rPr>
        <w:t>a. die Brennstoffe und die Energie, die verbraucht wurden;</w:t>
      </w:r>
    </w:p>
    <w:p w:rsidR="001614A1" w:rsidRPr="004227ED" w:rsidRDefault="001614A1" w:rsidP="001614A1">
      <w:pPr>
        <w:jc w:val="both"/>
        <w:rPr>
          <w:rFonts w:cs="Arial"/>
          <w:sz w:val="16"/>
          <w:szCs w:val="16"/>
        </w:rPr>
      </w:pPr>
      <w:r w:rsidRPr="004227ED">
        <w:rPr>
          <w:rFonts w:cs="Arial"/>
          <w:sz w:val="16"/>
          <w:szCs w:val="16"/>
        </w:rPr>
        <w:t>b. die Elektrizität zum Betrieb von Brennern und Pumpen;</w:t>
      </w:r>
    </w:p>
    <w:p w:rsidR="001614A1" w:rsidRPr="004227ED" w:rsidRDefault="001614A1" w:rsidP="001614A1">
      <w:pPr>
        <w:jc w:val="both"/>
        <w:rPr>
          <w:rFonts w:cs="Arial"/>
          <w:sz w:val="16"/>
          <w:szCs w:val="16"/>
        </w:rPr>
      </w:pPr>
      <w:r w:rsidRPr="004227ED">
        <w:rPr>
          <w:rFonts w:cs="Arial"/>
          <w:sz w:val="16"/>
          <w:szCs w:val="16"/>
        </w:rPr>
        <w:t>c. die Betriebskosten für Alternativenergien;</w:t>
      </w:r>
    </w:p>
    <w:p w:rsidR="001614A1" w:rsidRPr="004227ED" w:rsidRDefault="001614A1" w:rsidP="001614A1">
      <w:pPr>
        <w:jc w:val="both"/>
        <w:rPr>
          <w:rFonts w:cs="Arial"/>
          <w:sz w:val="16"/>
          <w:szCs w:val="16"/>
        </w:rPr>
      </w:pPr>
      <w:r w:rsidRPr="004227ED">
        <w:rPr>
          <w:rFonts w:cs="Arial"/>
          <w:sz w:val="16"/>
          <w:szCs w:val="16"/>
        </w:rPr>
        <w:t>d. die Reinigung der Heizungsanlagen und des Kamins, das Auskratzen, Ausbrennen und Einölen der Heizkessel sowie die Abfall- und Schlackenbeseitigung;</w:t>
      </w:r>
    </w:p>
    <w:p w:rsidR="001614A1" w:rsidRPr="004227ED" w:rsidRDefault="001614A1" w:rsidP="001614A1">
      <w:pPr>
        <w:jc w:val="both"/>
        <w:rPr>
          <w:rFonts w:cs="Arial"/>
          <w:sz w:val="16"/>
          <w:szCs w:val="16"/>
        </w:rPr>
      </w:pPr>
      <w:r w:rsidRPr="004227ED">
        <w:rPr>
          <w:rFonts w:cs="Arial"/>
          <w:sz w:val="16"/>
          <w:szCs w:val="16"/>
        </w:rPr>
        <w:t xml:space="preserve">e. die periodische Revision der Heizungsanlage einschliesslich des Öltanks sowie </w:t>
      </w:r>
      <w:r>
        <w:rPr>
          <w:rFonts w:cs="Arial"/>
          <w:sz w:val="16"/>
          <w:szCs w:val="16"/>
        </w:rPr>
        <w:t>das</w:t>
      </w:r>
      <w:r w:rsidRPr="004227ED">
        <w:rPr>
          <w:rFonts w:cs="Arial"/>
          <w:sz w:val="16"/>
          <w:szCs w:val="16"/>
        </w:rPr>
        <w:t xml:space="preserve"> Entkalken der Warmwasseranlage, der Boiler und des Leitungsnetzes;</w:t>
      </w:r>
    </w:p>
    <w:p w:rsidR="001614A1" w:rsidRPr="004227ED" w:rsidRDefault="001614A1" w:rsidP="001614A1">
      <w:pPr>
        <w:jc w:val="both"/>
        <w:rPr>
          <w:rFonts w:cs="Arial"/>
          <w:sz w:val="16"/>
          <w:szCs w:val="16"/>
        </w:rPr>
      </w:pPr>
      <w:r w:rsidRPr="004227ED">
        <w:rPr>
          <w:rFonts w:cs="Arial"/>
          <w:sz w:val="16"/>
          <w:szCs w:val="16"/>
        </w:rPr>
        <w:t>f. die Verbrauchserfassung und den Abrechnungsservice für die verbrauchsabhängige Heizkostenabrechnung sowie den</w:t>
      </w:r>
      <w:r>
        <w:rPr>
          <w:rFonts w:cs="Arial"/>
          <w:sz w:val="16"/>
          <w:szCs w:val="16"/>
        </w:rPr>
        <w:t xml:space="preserve"> Unterhalt der nötigen Apparate;</w:t>
      </w:r>
    </w:p>
    <w:p w:rsidR="001614A1" w:rsidRPr="004227ED" w:rsidRDefault="001614A1" w:rsidP="001614A1">
      <w:pPr>
        <w:jc w:val="both"/>
        <w:rPr>
          <w:rFonts w:cs="Arial"/>
          <w:sz w:val="16"/>
          <w:szCs w:val="16"/>
        </w:rPr>
      </w:pPr>
      <w:r w:rsidRPr="004227ED">
        <w:rPr>
          <w:rFonts w:cs="Arial"/>
          <w:sz w:val="16"/>
          <w:szCs w:val="16"/>
        </w:rPr>
        <w:t>g. die Wartung;</w:t>
      </w:r>
    </w:p>
    <w:p w:rsidR="001614A1" w:rsidRPr="004227ED" w:rsidRDefault="001614A1" w:rsidP="001614A1">
      <w:pPr>
        <w:jc w:val="both"/>
        <w:rPr>
          <w:rFonts w:cs="Arial"/>
          <w:sz w:val="16"/>
          <w:szCs w:val="16"/>
        </w:rPr>
      </w:pPr>
      <w:r w:rsidRPr="004227ED">
        <w:rPr>
          <w:rFonts w:cs="Arial"/>
          <w:sz w:val="16"/>
          <w:szCs w:val="16"/>
        </w:rPr>
        <w:t xml:space="preserve">h. die Versicherungsprämien, soweit sie sich ausschliesslich </w:t>
      </w:r>
      <w:r>
        <w:rPr>
          <w:rFonts w:cs="Arial"/>
          <w:sz w:val="16"/>
          <w:szCs w:val="16"/>
        </w:rPr>
        <w:t>auf die Heizungsanlage beziehen;</w:t>
      </w:r>
    </w:p>
    <w:p w:rsidR="001614A1" w:rsidRPr="004227ED" w:rsidRDefault="001614A1" w:rsidP="001614A1">
      <w:pPr>
        <w:jc w:val="both"/>
        <w:rPr>
          <w:rFonts w:cs="Arial"/>
          <w:sz w:val="16"/>
          <w:szCs w:val="16"/>
        </w:rPr>
      </w:pPr>
      <w:r w:rsidRPr="004227ED">
        <w:rPr>
          <w:rFonts w:cs="Arial"/>
          <w:sz w:val="16"/>
          <w:szCs w:val="16"/>
        </w:rPr>
        <w:t>i. die Verwaltungsarbeit, die mit dem Betrieb der Heizungsanlage zusammenhängt.</w:t>
      </w:r>
    </w:p>
    <w:p w:rsidR="001614A1" w:rsidRPr="004227ED" w:rsidRDefault="001614A1" w:rsidP="001614A1">
      <w:pPr>
        <w:jc w:val="both"/>
        <w:rPr>
          <w:rFonts w:cs="Arial"/>
          <w:sz w:val="16"/>
          <w:szCs w:val="16"/>
        </w:rPr>
      </w:pPr>
      <w:r w:rsidRPr="00A65ADF">
        <w:rPr>
          <w:rFonts w:cs="Arial"/>
          <w:sz w:val="16"/>
          <w:szCs w:val="16"/>
          <w:vertAlign w:val="superscript"/>
        </w:rPr>
        <w:t>3</w:t>
      </w:r>
      <w:r w:rsidRPr="004227ED">
        <w:rPr>
          <w:rFonts w:cs="Arial"/>
          <w:sz w:val="16"/>
          <w:szCs w:val="16"/>
        </w:rPr>
        <w:t xml:space="preserve"> Die Kosten für die Wartung und die Verwaltung dürfen nach Aufwand oder im Rahmen der üblichen Ansätze angerechnet werden.</w:t>
      </w:r>
    </w:p>
    <w:p w:rsidR="001614A1" w:rsidRPr="004227ED" w:rsidRDefault="001614A1" w:rsidP="001614A1">
      <w:pPr>
        <w:jc w:val="both"/>
        <w:rPr>
          <w:rFonts w:cs="Arial"/>
          <w:sz w:val="16"/>
          <w:szCs w:val="16"/>
        </w:rPr>
      </w:pPr>
    </w:p>
    <w:p w:rsidR="001614A1" w:rsidRPr="004227ED" w:rsidRDefault="001614A1" w:rsidP="001614A1">
      <w:pPr>
        <w:tabs>
          <w:tab w:val="left" w:pos="900"/>
        </w:tabs>
        <w:jc w:val="both"/>
        <w:rPr>
          <w:rFonts w:cs="Arial"/>
          <w:b/>
          <w:sz w:val="16"/>
          <w:szCs w:val="16"/>
        </w:rPr>
      </w:pPr>
      <w:r w:rsidRPr="004227ED">
        <w:rPr>
          <w:rFonts w:cs="Arial"/>
          <w:b/>
          <w:sz w:val="16"/>
          <w:szCs w:val="16"/>
        </w:rPr>
        <w:t>Art. 6</w:t>
      </w:r>
      <w:r>
        <w:rPr>
          <w:rFonts w:cs="Arial"/>
          <w:b/>
          <w:sz w:val="16"/>
          <w:szCs w:val="16"/>
        </w:rPr>
        <w:t xml:space="preserve"> </w:t>
      </w:r>
      <w:r>
        <w:rPr>
          <w:rFonts w:cs="Arial"/>
          <w:b/>
          <w:sz w:val="16"/>
          <w:szCs w:val="16"/>
        </w:rPr>
        <w:tab/>
      </w:r>
      <w:r w:rsidRPr="004227ED">
        <w:rPr>
          <w:rFonts w:cs="Arial"/>
          <w:b/>
          <w:sz w:val="16"/>
          <w:szCs w:val="16"/>
        </w:rPr>
        <w:t>Nicht anrechenbare Heizungs- und Warmwasserkosen</w:t>
      </w:r>
    </w:p>
    <w:p w:rsidR="001614A1" w:rsidRPr="004227ED" w:rsidRDefault="001614A1" w:rsidP="001614A1">
      <w:pPr>
        <w:jc w:val="both"/>
        <w:rPr>
          <w:rFonts w:cs="Arial"/>
          <w:sz w:val="16"/>
          <w:szCs w:val="16"/>
        </w:rPr>
      </w:pPr>
      <w:r w:rsidRPr="004227ED">
        <w:rPr>
          <w:rFonts w:cs="Arial"/>
          <w:sz w:val="16"/>
          <w:szCs w:val="16"/>
        </w:rPr>
        <w:t>Nicht als Heizungs- und Warmwasseraufbereitungskosten anrechenbar sind die Aufwendungen für:</w:t>
      </w:r>
    </w:p>
    <w:p w:rsidR="001614A1" w:rsidRPr="004227ED" w:rsidRDefault="001614A1" w:rsidP="001614A1">
      <w:pPr>
        <w:jc w:val="both"/>
        <w:rPr>
          <w:rFonts w:cs="Arial"/>
          <w:sz w:val="16"/>
          <w:szCs w:val="16"/>
        </w:rPr>
      </w:pPr>
      <w:r w:rsidRPr="004227ED">
        <w:rPr>
          <w:rFonts w:cs="Arial"/>
          <w:sz w:val="16"/>
          <w:szCs w:val="16"/>
        </w:rPr>
        <w:t>a. die Reparatur und Erneuerung der Anlagen</w:t>
      </w:r>
      <w:r>
        <w:rPr>
          <w:rFonts w:cs="Arial"/>
          <w:sz w:val="16"/>
          <w:szCs w:val="16"/>
        </w:rPr>
        <w:t>;</w:t>
      </w:r>
    </w:p>
    <w:p w:rsidR="001614A1" w:rsidRDefault="001614A1" w:rsidP="001614A1">
      <w:pPr>
        <w:jc w:val="both"/>
        <w:rPr>
          <w:rFonts w:cs="Arial"/>
          <w:b/>
          <w:sz w:val="16"/>
          <w:szCs w:val="16"/>
        </w:rPr>
      </w:pPr>
      <w:r w:rsidRPr="004227ED">
        <w:rPr>
          <w:rFonts w:cs="Arial"/>
          <w:sz w:val="16"/>
          <w:szCs w:val="16"/>
        </w:rPr>
        <w:t>b. die Verzinsung und Abschreibung</w:t>
      </w:r>
      <w:r w:rsidRPr="004227ED">
        <w:rPr>
          <w:rFonts w:cs="Arial"/>
          <w:sz w:val="17"/>
          <w:szCs w:val="17"/>
        </w:rPr>
        <w:t xml:space="preserve"> der Anlagen.</w:t>
      </w:r>
      <w:r w:rsidRPr="005A55ED">
        <w:rPr>
          <w:rFonts w:cs="Arial"/>
          <w:b/>
          <w:sz w:val="16"/>
          <w:szCs w:val="16"/>
        </w:rPr>
        <w:t xml:space="preserve"> </w:t>
      </w:r>
    </w:p>
    <w:p w:rsidR="001614A1" w:rsidRDefault="001614A1" w:rsidP="001614A1">
      <w:pPr>
        <w:jc w:val="both"/>
        <w:rPr>
          <w:rFonts w:cs="Arial"/>
          <w:b/>
          <w:sz w:val="16"/>
          <w:szCs w:val="16"/>
        </w:rPr>
      </w:pPr>
    </w:p>
    <w:p w:rsidR="001614A1" w:rsidRPr="004227ED" w:rsidRDefault="001614A1" w:rsidP="001614A1">
      <w:pPr>
        <w:tabs>
          <w:tab w:val="left" w:pos="900"/>
        </w:tabs>
        <w:jc w:val="both"/>
        <w:rPr>
          <w:rFonts w:cs="Arial"/>
          <w:b/>
          <w:sz w:val="16"/>
          <w:szCs w:val="16"/>
        </w:rPr>
      </w:pPr>
      <w:r w:rsidRPr="004227ED">
        <w:rPr>
          <w:rFonts w:cs="Arial"/>
          <w:b/>
          <w:sz w:val="16"/>
          <w:szCs w:val="16"/>
        </w:rPr>
        <w:t>Art. 12</w:t>
      </w:r>
      <w:r>
        <w:rPr>
          <w:rFonts w:cs="Arial"/>
          <w:b/>
          <w:sz w:val="16"/>
          <w:szCs w:val="16"/>
        </w:rPr>
        <w:tab/>
      </w:r>
      <w:r w:rsidRPr="004227ED">
        <w:rPr>
          <w:rFonts w:cs="Arial"/>
          <w:b/>
          <w:sz w:val="16"/>
          <w:szCs w:val="16"/>
        </w:rPr>
        <w:t>Kostensteigerungen</w:t>
      </w:r>
    </w:p>
    <w:p w:rsidR="001614A1" w:rsidRPr="004227ED" w:rsidRDefault="001614A1" w:rsidP="001614A1">
      <w:pPr>
        <w:jc w:val="both"/>
        <w:rPr>
          <w:rFonts w:cs="Arial"/>
          <w:sz w:val="16"/>
          <w:szCs w:val="16"/>
        </w:rPr>
      </w:pPr>
      <w:r w:rsidRPr="00A65ADF">
        <w:rPr>
          <w:rFonts w:cs="Arial"/>
          <w:sz w:val="16"/>
          <w:szCs w:val="16"/>
          <w:vertAlign w:val="superscript"/>
        </w:rPr>
        <w:t>1</w:t>
      </w:r>
      <w:r w:rsidRPr="004227ED">
        <w:rPr>
          <w:rFonts w:cs="Arial"/>
          <w:sz w:val="16"/>
          <w:szCs w:val="16"/>
        </w:rPr>
        <w:t xml:space="preserve"> Als Kostensteigerungen im Sinne von Artikel 269a Buchstabe b </w:t>
      </w:r>
      <w:r>
        <w:rPr>
          <w:rFonts w:cs="Arial"/>
          <w:sz w:val="16"/>
          <w:szCs w:val="16"/>
        </w:rPr>
        <w:t xml:space="preserve">OR </w:t>
      </w:r>
      <w:r w:rsidRPr="004227ED">
        <w:rPr>
          <w:rFonts w:cs="Arial"/>
          <w:sz w:val="16"/>
          <w:szCs w:val="16"/>
        </w:rPr>
        <w:t xml:space="preserve">gelten insbesondere Erhöhungen </w:t>
      </w:r>
      <w:r>
        <w:rPr>
          <w:rFonts w:cs="Arial"/>
          <w:sz w:val="16"/>
          <w:szCs w:val="16"/>
        </w:rPr>
        <w:t>des Hypothekarzinssatzes</w:t>
      </w:r>
      <w:r w:rsidRPr="004227ED">
        <w:rPr>
          <w:rFonts w:cs="Arial"/>
          <w:sz w:val="16"/>
          <w:szCs w:val="16"/>
        </w:rPr>
        <w:t>, der Gebühren, Objektsteuern, Baurechtszinse, Versicherungsprämien sowie Erhöhungen der Unterhaltskosten.</w:t>
      </w:r>
    </w:p>
    <w:p w:rsidR="001614A1" w:rsidRPr="004227ED" w:rsidRDefault="001614A1" w:rsidP="001614A1">
      <w:pPr>
        <w:jc w:val="both"/>
        <w:rPr>
          <w:rFonts w:cs="Arial"/>
          <w:sz w:val="16"/>
          <w:szCs w:val="16"/>
        </w:rPr>
      </w:pPr>
      <w:r w:rsidRPr="00A65ADF">
        <w:rPr>
          <w:rFonts w:cs="Arial"/>
          <w:sz w:val="16"/>
          <w:szCs w:val="16"/>
          <w:vertAlign w:val="superscript"/>
        </w:rPr>
        <w:t>2</w:t>
      </w:r>
      <w:r w:rsidRPr="004227ED">
        <w:rPr>
          <w:rFonts w:cs="Arial"/>
          <w:sz w:val="16"/>
          <w:szCs w:val="16"/>
        </w:rPr>
        <w:t xml:space="preserve"> Aus Handänderungen sich ergebende Kosten gelten als Teil der Erwerbskosten und nicht als Kostensteigerungen.</w:t>
      </w:r>
    </w:p>
    <w:p w:rsidR="001614A1" w:rsidRPr="004227ED" w:rsidRDefault="001614A1" w:rsidP="001614A1">
      <w:pPr>
        <w:jc w:val="both"/>
        <w:rPr>
          <w:rFonts w:cs="Arial"/>
          <w:sz w:val="16"/>
          <w:szCs w:val="16"/>
        </w:rPr>
      </w:pPr>
    </w:p>
    <w:p w:rsidR="001614A1" w:rsidRDefault="001614A1" w:rsidP="001614A1">
      <w:pPr>
        <w:tabs>
          <w:tab w:val="left" w:pos="900"/>
        </w:tabs>
        <w:jc w:val="both"/>
        <w:rPr>
          <w:rFonts w:cs="Arial"/>
          <w:b/>
          <w:sz w:val="16"/>
          <w:szCs w:val="16"/>
        </w:rPr>
      </w:pPr>
      <w:r>
        <w:rPr>
          <w:rFonts w:cs="Arial"/>
          <w:b/>
          <w:sz w:val="16"/>
          <w:szCs w:val="16"/>
        </w:rPr>
        <w:t>Art. 12a</w:t>
      </w:r>
      <w:r>
        <w:rPr>
          <w:rFonts w:cs="Arial"/>
          <w:bCs/>
          <w:sz w:val="16"/>
          <w:szCs w:val="16"/>
        </w:rPr>
        <w:tab/>
      </w:r>
      <w:r w:rsidRPr="005A55ED">
        <w:rPr>
          <w:rFonts w:cs="Arial"/>
          <w:b/>
          <w:bCs/>
          <w:sz w:val="16"/>
          <w:szCs w:val="16"/>
        </w:rPr>
        <w:t>Referenzzinssatz für Hypotheken</w:t>
      </w:r>
    </w:p>
    <w:p w:rsidR="001614A1" w:rsidRDefault="001614A1" w:rsidP="001614A1">
      <w:pPr>
        <w:jc w:val="both"/>
        <w:rPr>
          <w:rFonts w:cs="Arial"/>
          <w:sz w:val="16"/>
          <w:szCs w:val="16"/>
        </w:rPr>
      </w:pPr>
      <w:r w:rsidRPr="00A65ADF">
        <w:rPr>
          <w:rFonts w:cs="Arial"/>
          <w:sz w:val="16"/>
          <w:szCs w:val="16"/>
          <w:vertAlign w:val="superscript"/>
        </w:rPr>
        <w:t>1</w:t>
      </w:r>
      <w:r>
        <w:rPr>
          <w:rFonts w:cs="Arial"/>
          <w:sz w:val="16"/>
          <w:szCs w:val="16"/>
        </w:rPr>
        <w:t xml:space="preserve"> </w:t>
      </w:r>
      <w:r w:rsidRPr="005A55ED">
        <w:rPr>
          <w:rFonts w:cs="Arial"/>
          <w:sz w:val="16"/>
          <w:szCs w:val="16"/>
        </w:rPr>
        <w:t>Für Mietzinsanpassungen aufgrund von Änderungen des Hypothekarzinssatzes gilt ein Referenzzinssatz. Dieser stützt sich auf den vierteljährlich erhobenen, volumengewichteten Durchschnittszinssatz für inländische Hypothekarforderungen und wird in Viertelprozenten festgesetzt. Er wird vom Eidgenössischen Volkswirtschaftsdepartement (EVD) bekannt gegeben.</w:t>
      </w:r>
    </w:p>
    <w:p w:rsidR="001614A1" w:rsidRDefault="001614A1" w:rsidP="001614A1">
      <w:pPr>
        <w:jc w:val="both"/>
        <w:rPr>
          <w:rFonts w:cs="Arial"/>
          <w:sz w:val="16"/>
          <w:szCs w:val="16"/>
        </w:rPr>
      </w:pPr>
      <w:r w:rsidRPr="00A65ADF">
        <w:rPr>
          <w:rFonts w:cs="Arial"/>
          <w:sz w:val="16"/>
          <w:szCs w:val="16"/>
          <w:vertAlign w:val="superscript"/>
        </w:rPr>
        <w:t>2</w:t>
      </w:r>
      <w:r>
        <w:rPr>
          <w:rFonts w:cs="Arial"/>
          <w:sz w:val="16"/>
          <w:szCs w:val="16"/>
        </w:rPr>
        <w:t xml:space="preserve"> </w:t>
      </w:r>
      <w:r w:rsidRPr="005A55ED">
        <w:rPr>
          <w:rFonts w:cs="Arial"/>
          <w:sz w:val="16"/>
          <w:szCs w:val="16"/>
        </w:rPr>
        <w:t>Sobald sich der Durchschnittszinssatz für inländische Hypothekarforderungen um 0.25 Prozentpunkte verändert hat, gibt das EVD den neuen Referenzzinssatz bekannt.</w:t>
      </w:r>
    </w:p>
    <w:p w:rsidR="001614A1" w:rsidRDefault="001614A1" w:rsidP="001614A1">
      <w:pPr>
        <w:jc w:val="both"/>
        <w:rPr>
          <w:rFonts w:cs="Arial"/>
          <w:sz w:val="16"/>
          <w:szCs w:val="16"/>
        </w:rPr>
      </w:pPr>
      <w:r w:rsidRPr="00A65ADF">
        <w:rPr>
          <w:rFonts w:cs="Arial"/>
          <w:sz w:val="16"/>
          <w:szCs w:val="16"/>
          <w:vertAlign w:val="superscript"/>
        </w:rPr>
        <w:t>3</w:t>
      </w:r>
      <w:r>
        <w:rPr>
          <w:rFonts w:cs="Arial"/>
          <w:sz w:val="16"/>
          <w:szCs w:val="16"/>
        </w:rPr>
        <w:t xml:space="preserve"> </w:t>
      </w:r>
      <w:r w:rsidRPr="005A55ED">
        <w:rPr>
          <w:rFonts w:cs="Arial"/>
          <w:sz w:val="16"/>
          <w:szCs w:val="16"/>
        </w:rPr>
        <w:t>Das EVD kann für den technischen Vollzug der Datenerhebung und die Berechnung des Durchschnittszinssatzes für inländische Hypothekarforderungen Dritte beiziehen.</w:t>
      </w:r>
    </w:p>
    <w:p w:rsidR="001614A1" w:rsidRDefault="001614A1" w:rsidP="001614A1">
      <w:pPr>
        <w:jc w:val="both"/>
        <w:rPr>
          <w:rFonts w:cs="Arial"/>
          <w:sz w:val="16"/>
          <w:szCs w:val="16"/>
        </w:rPr>
      </w:pPr>
      <w:r w:rsidRPr="00A65ADF">
        <w:rPr>
          <w:rFonts w:cs="Arial"/>
          <w:sz w:val="16"/>
          <w:szCs w:val="16"/>
          <w:vertAlign w:val="superscript"/>
        </w:rPr>
        <w:t>4</w:t>
      </w:r>
      <w:r>
        <w:rPr>
          <w:rFonts w:cs="Arial"/>
          <w:sz w:val="16"/>
          <w:szCs w:val="16"/>
        </w:rPr>
        <w:t xml:space="preserve"> </w:t>
      </w:r>
      <w:r w:rsidRPr="005A55ED">
        <w:rPr>
          <w:rFonts w:cs="Arial"/>
          <w:sz w:val="16"/>
          <w:szCs w:val="16"/>
        </w:rPr>
        <w:t>Es erlässt Bestimmungen über die technische Definition, Erhebung und Veröffentlichung des Durchschnittszinssatzes für inländische Hypothekarforderungen gemäss Absatz 1. Die Banken müssen dem EVD die notwendigen Daten melden.</w:t>
      </w:r>
    </w:p>
    <w:p w:rsidR="001614A1" w:rsidRDefault="001614A1" w:rsidP="001614A1">
      <w:pPr>
        <w:jc w:val="both"/>
        <w:rPr>
          <w:rFonts w:cs="Arial"/>
          <w:b/>
          <w:sz w:val="16"/>
          <w:szCs w:val="16"/>
        </w:rPr>
      </w:pPr>
    </w:p>
    <w:p w:rsidR="001614A1" w:rsidRPr="004227ED" w:rsidRDefault="001614A1" w:rsidP="001614A1">
      <w:pPr>
        <w:tabs>
          <w:tab w:val="left" w:pos="900"/>
        </w:tabs>
        <w:jc w:val="both"/>
        <w:rPr>
          <w:rFonts w:cs="Arial"/>
          <w:b/>
          <w:sz w:val="16"/>
          <w:szCs w:val="16"/>
        </w:rPr>
      </w:pPr>
      <w:r w:rsidRPr="004227ED">
        <w:rPr>
          <w:rFonts w:cs="Arial"/>
          <w:b/>
          <w:sz w:val="16"/>
          <w:szCs w:val="16"/>
        </w:rPr>
        <w:t>Art. 13</w:t>
      </w:r>
      <w:r>
        <w:rPr>
          <w:rFonts w:cs="Arial"/>
          <w:b/>
          <w:sz w:val="16"/>
          <w:szCs w:val="16"/>
        </w:rPr>
        <w:tab/>
      </w:r>
      <w:r w:rsidRPr="004227ED">
        <w:rPr>
          <w:rFonts w:cs="Arial"/>
          <w:b/>
          <w:sz w:val="16"/>
          <w:szCs w:val="16"/>
        </w:rPr>
        <w:t>Hypothekarzinse</w:t>
      </w:r>
    </w:p>
    <w:p w:rsidR="001614A1" w:rsidRPr="004227ED" w:rsidRDefault="001614A1" w:rsidP="001614A1">
      <w:pPr>
        <w:jc w:val="both"/>
        <w:rPr>
          <w:rFonts w:cs="Arial"/>
          <w:sz w:val="16"/>
          <w:szCs w:val="16"/>
        </w:rPr>
      </w:pPr>
      <w:r w:rsidRPr="00A65ADF">
        <w:rPr>
          <w:rFonts w:cs="Arial"/>
          <w:sz w:val="16"/>
          <w:szCs w:val="16"/>
          <w:vertAlign w:val="superscript"/>
        </w:rPr>
        <w:t>1</w:t>
      </w:r>
      <w:r w:rsidRPr="004227ED">
        <w:rPr>
          <w:rFonts w:cs="Arial"/>
          <w:sz w:val="16"/>
          <w:szCs w:val="16"/>
        </w:rPr>
        <w:t xml:space="preserve"> Eine Hypothekarzinserhöhung von einem viertel Prozent berechtigt in der Regel zu einer Mietzinserhöhung von höchstens</w:t>
      </w:r>
    </w:p>
    <w:p w:rsidR="001614A1" w:rsidRPr="004227ED" w:rsidRDefault="001614A1" w:rsidP="001614A1">
      <w:pPr>
        <w:jc w:val="both"/>
        <w:rPr>
          <w:rFonts w:cs="Arial"/>
          <w:sz w:val="16"/>
          <w:szCs w:val="16"/>
        </w:rPr>
      </w:pPr>
      <w:r w:rsidRPr="004227ED">
        <w:rPr>
          <w:rFonts w:cs="Arial"/>
          <w:sz w:val="16"/>
          <w:szCs w:val="16"/>
        </w:rPr>
        <w:t>a. 2 Prozent bei Hypothekarzinssätzen von mehr als 6 Prozent;</w:t>
      </w:r>
    </w:p>
    <w:p w:rsidR="001614A1" w:rsidRPr="004227ED" w:rsidRDefault="001614A1" w:rsidP="001614A1">
      <w:pPr>
        <w:jc w:val="both"/>
        <w:rPr>
          <w:rFonts w:cs="Arial"/>
          <w:sz w:val="16"/>
          <w:szCs w:val="16"/>
        </w:rPr>
      </w:pPr>
      <w:r w:rsidRPr="004227ED">
        <w:rPr>
          <w:rFonts w:cs="Arial"/>
          <w:sz w:val="16"/>
          <w:szCs w:val="16"/>
        </w:rPr>
        <w:t>b. 2,5 Prozent bei Hypothekarzinssätzen zwischen 5 und 6 Prozent;</w:t>
      </w:r>
    </w:p>
    <w:p w:rsidR="001614A1" w:rsidRPr="004227ED" w:rsidRDefault="001614A1" w:rsidP="001614A1">
      <w:pPr>
        <w:jc w:val="both"/>
        <w:rPr>
          <w:rFonts w:cs="Arial"/>
          <w:sz w:val="16"/>
          <w:szCs w:val="16"/>
        </w:rPr>
      </w:pPr>
      <w:r w:rsidRPr="004227ED">
        <w:rPr>
          <w:rFonts w:cs="Arial"/>
          <w:sz w:val="16"/>
          <w:szCs w:val="16"/>
        </w:rPr>
        <w:t>c. 3 Prozent bei Hypothekarzinssätzen von weniger als 5 Prozent.</w:t>
      </w:r>
    </w:p>
    <w:p w:rsidR="001614A1" w:rsidRPr="004227ED" w:rsidRDefault="001614A1" w:rsidP="001614A1">
      <w:pPr>
        <w:jc w:val="both"/>
        <w:rPr>
          <w:rFonts w:cs="Arial"/>
          <w:sz w:val="16"/>
          <w:szCs w:val="16"/>
        </w:rPr>
      </w:pPr>
      <w:r w:rsidRPr="004227ED">
        <w:rPr>
          <w:rFonts w:cs="Arial"/>
          <w:sz w:val="16"/>
          <w:szCs w:val="16"/>
        </w:rPr>
        <w:t>Bei Hypothekarzinssenkungen sind die Mietzinse entsprechen</w:t>
      </w:r>
      <w:r>
        <w:rPr>
          <w:rFonts w:cs="Arial"/>
          <w:sz w:val="16"/>
          <w:szCs w:val="16"/>
        </w:rPr>
        <w:t>d</w:t>
      </w:r>
      <w:r w:rsidRPr="004227ED">
        <w:rPr>
          <w:rFonts w:cs="Arial"/>
          <w:sz w:val="16"/>
          <w:szCs w:val="16"/>
        </w:rPr>
        <w:t xml:space="preserve"> herabzusetzen oder die Einsparung mit inzwischen eingetretenen Kostensteigerungen zu verrechnen.</w:t>
      </w:r>
    </w:p>
    <w:p w:rsidR="001614A1" w:rsidRPr="004227ED" w:rsidRDefault="001614A1" w:rsidP="001614A1">
      <w:pPr>
        <w:jc w:val="both"/>
        <w:rPr>
          <w:rFonts w:cs="Arial"/>
          <w:sz w:val="16"/>
          <w:szCs w:val="16"/>
        </w:rPr>
      </w:pPr>
      <w:r w:rsidRPr="00A65ADF">
        <w:rPr>
          <w:rFonts w:cs="Arial"/>
          <w:sz w:val="16"/>
          <w:szCs w:val="16"/>
          <w:vertAlign w:val="superscript"/>
        </w:rPr>
        <w:t>2</w:t>
      </w:r>
      <w:r w:rsidRPr="004227ED">
        <w:rPr>
          <w:rFonts w:cs="Arial"/>
          <w:sz w:val="16"/>
          <w:szCs w:val="16"/>
        </w:rPr>
        <w:t xml:space="preserve"> Bei Zahlungsplänen im Sinne von Artikel 269a Buchstabe d </w:t>
      </w:r>
      <w:r>
        <w:rPr>
          <w:rFonts w:cs="Arial"/>
          <w:sz w:val="16"/>
          <w:szCs w:val="16"/>
        </w:rPr>
        <w:t xml:space="preserve">OR </w:t>
      </w:r>
      <w:r w:rsidRPr="004227ED">
        <w:rPr>
          <w:rFonts w:cs="Arial"/>
          <w:sz w:val="16"/>
          <w:szCs w:val="16"/>
        </w:rPr>
        <w:t xml:space="preserve">und Rahmenmietverträgen im Sinne von Artikel 269a Buchstabe f </w:t>
      </w:r>
      <w:r>
        <w:rPr>
          <w:rFonts w:cs="Arial"/>
          <w:sz w:val="16"/>
          <w:szCs w:val="16"/>
        </w:rPr>
        <w:t xml:space="preserve">OR </w:t>
      </w:r>
      <w:r w:rsidRPr="004227ED">
        <w:rPr>
          <w:rFonts w:cs="Arial"/>
          <w:sz w:val="16"/>
          <w:szCs w:val="16"/>
        </w:rPr>
        <w:t>gelten bei Hypothekarzinsänderungen stattdessen die für solche Fälle vereinbarten Regelungen.</w:t>
      </w:r>
    </w:p>
    <w:p w:rsidR="00F1312E" w:rsidRDefault="001614A1" w:rsidP="001614A1">
      <w:pPr>
        <w:jc w:val="both"/>
        <w:rPr>
          <w:rFonts w:cs="Arial"/>
          <w:sz w:val="16"/>
          <w:szCs w:val="16"/>
        </w:rPr>
      </w:pPr>
      <w:r w:rsidRPr="00A65ADF">
        <w:rPr>
          <w:rFonts w:cs="Arial"/>
          <w:sz w:val="16"/>
          <w:szCs w:val="16"/>
          <w:vertAlign w:val="superscript"/>
        </w:rPr>
        <w:t>3</w:t>
      </w:r>
      <w:r w:rsidRPr="004227ED">
        <w:rPr>
          <w:rFonts w:cs="Arial"/>
          <w:sz w:val="16"/>
          <w:szCs w:val="16"/>
        </w:rPr>
        <w:t xml:space="preserve"> Wird unter Verzicht auf Quartierüblichkeit und Teuerungsausgleich dauernd mit der reinen Kostenmiete gerechnet, so kann der Mietzins bei Hypothekarzinserhöhungen im Umfang der Mehrbelastung für das gesamte investierte Kapital erhöht werden.</w:t>
      </w:r>
    </w:p>
    <w:p w:rsidR="001614A1" w:rsidRDefault="001614A1" w:rsidP="001614A1">
      <w:pPr>
        <w:jc w:val="both"/>
        <w:rPr>
          <w:rFonts w:cs="Arial"/>
          <w:sz w:val="16"/>
          <w:szCs w:val="16"/>
        </w:rPr>
      </w:pPr>
      <w:r w:rsidRPr="00A65ADF">
        <w:rPr>
          <w:rFonts w:cs="Arial"/>
          <w:sz w:val="16"/>
          <w:szCs w:val="16"/>
          <w:vertAlign w:val="superscript"/>
        </w:rPr>
        <w:t>4</w:t>
      </w:r>
      <w:r>
        <w:rPr>
          <w:rFonts w:cs="Arial"/>
          <w:sz w:val="16"/>
          <w:szCs w:val="16"/>
        </w:rPr>
        <w:t xml:space="preserve"> Bei Mietzinsanpassungen infolge von Hypothekarzinsänderungen ist im Übrigen zu berücksichtigen, ob und inwieweit frühere Hypothekarzinsänderungen zu Mietzinsanpassungen geführt haben.</w:t>
      </w:r>
    </w:p>
    <w:p w:rsidR="001614A1" w:rsidRDefault="001614A1" w:rsidP="001614A1">
      <w:pPr>
        <w:pStyle w:val="Textkrper"/>
        <w:tabs>
          <w:tab w:val="left" w:pos="5670"/>
          <w:tab w:val="left" w:pos="6663"/>
        </w:tabs>
        <w:rPr>
          <w:rFonts w:cs="Arial"/>
          <w:sz w:val="16"/>
          <w:szCs w:val="16"/>
        </w:rPr>
      </w:pPr>
    </w:p>
    <w:p w:rsidR="001614A1" w:rsidRDefault="001614A1" w:rsidP="001614A1">
      <w:pPr>
        <w:pStyle w:val="Textkrper"/>
        <w:tabs>
          <w:tab w:val="left" w:pos="5670"/>
          <w:tab w:val="left" w:pos="6663"/>
        </w:tabs>
        <w:rPr>
          <w:rFonts w:cs="Arial"/>
          <w:sz w:val="16"/>
          <w:szCs w:val="16"/>
        </w:rPr>
      </w:pPr>
    </w:p>
    <w:p w:rsidR="00B408AD" w:rsidRPr="001614A1" w:rsidRDefault="001614A1" w:rsidP="001614A1">
      <w:pPr>
        <w:pStyle w:val="Textkrper"/>
        <w:tabs>
          <w:tab w:val="left" w:pos="5670"/>
          <w:tab w:val="left" w:pos="6663"/>
        </w:tabs>
        <w:rPr>
          <w:rFonts w:cs="Arial"/>
          <w:sz w:val="16"/>
          <w:szCs w:val="16"/>
        </w:rPr>
      </w:pPr>
      <w:r w:rsidRPr="00C03FFE">
        <w:rPr>
          <w:rFonts w:cs="Arial"/>
          <w:sz w:val="16"/>
          <w:szCs w:val="16"/>
        </w:rPr>
        <w:t>Weitere mas</w:t>
      </w:r>
      <w:r>
        <w:rPr>
          <w:rFonts w:cs="Arial"/>
          <w:sz w:val="16"/>
          <w:szCs w:val="16"/>
        </w:rPr>
        <w:t xml:space="preserve">sgebende Artikel sind: Artikel </w:t>
      </w:r>
      <w:r w:rsidRPr="00C03FFE">
        <w:rPr>
          <w:rFonts w:cs="Arial"/>
          <w:sz w:val="16"/>
          <w:szCs w:val="16"/>
        </w:rPr>
        <w:t>6a, 10, 11, 14, 15, 16, 17 und 18 der Verordnung.</w:t>
      </w:r>
    </w:p>
    <w:sectPr w:rsidR="00B408AD" w:rsidRPr="001614A1" w:rsidSect="004A03BB">
      <w:type w:val="continuous"/>
      <w:pgSz w:w="11906" w:h="16838" w:code="9"/>
      <w:pgMar w:top="357" w:right="386" w:bottom="113" w:left="357" w:header="454" w:footer="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22" w:rsidRDefault="00660922" w:rsidP="001614A1">
      <w:r>
        <w:separator/>
      </w:r>
    </w:p>
  </w:endnote>
  <w:endnote w:type="continuationSeparator" w:id="0">
    <w:p w:rsidR="00660922" w:rsidRDefault="00660922" w:rsidP="0016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A1" w:rsidRPr="007A38C4" w:rsidRDefault="001614A1" w:rsidP="007A38C4">
    <w:pPr>
      <w:pStyle w:val="Fuzeile"/>
      <w:spacing w:before="60"/>
      <w:rPr>
        <w:sz w:val="12"/>
      </w:rPr>
    </w:pPr>
    <w:r>
      <w:rPr>
        <w:sz w:val="12"/>
      </w:rPr>
      <w:t xml:space="preserve">(Formular gemäss </w:t>
    </w:r>
    <w:r w:rsidR="008E5970">
      <w:rPr>
        <w:sz w:val="12"/>
      </w:rPr>
      <w:t>Artikel</w:t>
    </w:r>
    <w:r>
      <w:rPr>
        <w:sz w:val="12"/>
      </w:rPr>
      <w:t xml:space="preserve"> 22 </w:t>
    </w:r>
    <w:r w:rsidR="008E5970">
      <w:rPr>
        <w:sz w:val="12"/>
      </w:rPr>
      <w:t>Absatz</w:t>
    </w:r>
    <w:r>
      <w:rPr>
        <w:sz w:val="12"/>
      </w:rPr>
      <w:t xml:space="preserve"> 1 Gesetz über die Einführung des Schweizerischen Obligationenrechts durch die Schlichtungsbehörde des Kantons Glarus genehmigt am </w:t>
    </w:r>
    <w:r w:rsidR="008E5970">
      <w:rPr>
        <w:sz w:val="12"/>
      </w:rPr>
      <w:t>1. Juli 2018</w:t>
    </w:r>
    <w:r>
      <w:rPr>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22" w:rsidRDefault="00660922" w:rsidP="001614A1">
      <w:r>
        <w:separator/>
      </w:r>
    </w:p>
  </w:footnote>
  <w:footnote w:type="continuationSeparator" w:id="0">
    <w:p w:rsidR="00660922" w:rsidRDefault="00660922" w:rsidP="001614A1">
      <w:r>
        <w:continuationSeparator/>
      </w:r>
    </w:p>
  </w:footnote>
  <w:footnote w:id="1">
    <w:p w:rsidR="001614A1" w:rsidRPr="003B4DBD" w:rsidRDefault="001614A1" w:rsidP="001614A1">
      <w:pPr>
        <w:pStyle w:val="Funotentext"/>
        <w:rPr>
          <w:sz w:val="16"/>
          <w:szCs w:val="16"/>
        </w:rPr>
      </w:pPr>
      <w:r w:rsidRPr="003B4DBD">
        <w:rPr>
          <w:rStyle w:val="Funotenzeichen"/>
          <w:sz w:val="16"/>
          <w:szCs w:val="16"/>
        </w:rPr>
        <w:footnoteRef/>
      </w:r>
      <w:r w:rsidRPr="003B4DBD">
        <w:rPr>
          <w:sz w:val="16"/>
          <w:szCs w:val="16"/>
        </w:rPr>
        <w:t xml:space="preserve"> Erfolgt die Begründung in einem Begleitschreiben, hat der/die Vermieter/in im Formular ausdrücklich darauf hinzuweisen.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58F" w:rsidRDefault="00AC258F" w:rsidP="00AC258F">
    <w:pPr>
      <w:tabs>
        <w:tab w:val="left" w:pos="3752"/>
      </w:tabs>
      <w:ind w:left="2552"/>
      <w:rPr>
        <w:sz w:val="24"/>
      </w:rPr>
    </w:pPr>
    <w:r w:rsidRPr="00AC258F">
      <w:rPr>
        <w:noProof/>
        <w:u w:val="single"/>
      </w:rPr>
      <w:drawing>
        <wp:anchor distT="0" distB="0" distL="114300" distR="114300" simplePos="0" relativeHeight="251659264" behindDoc="1" locked="1" layoutInCell="1" allowOverlap="1" wp14:anchorId="42486784" wp14:editId="6EB803A6">
          <wp:simplePos x="0" y="0"/>
          <wp:positionH relativeFrom="page">
            <wp:posOffset>81280</wp:posOffset>
          </wp:positionH>
          <wp:positionV relativeFrom="page">
            <wp:posOffset>212725</wp:posOffset>
          </wp:positionV>
          <wp:extent cx="1583690" cy="481330"/>
          <wp:effectExtent l="0" t="0" r="0" b="0"/>
          <wp:wrapNone/>
          <wp:docPr id="1" name="Grafik 1" descr="KtGlarus_rgb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9101316490596729929.01760" descr="KtGlarus_rgb_2100"/>
                  <pic:cNvPicPr>
                    <a:picLocks noChangeAspect="1" noChangeArrowheads="1"/>
                  </pic:cNvPicPr>
                </pic:nvPicPr>
                <pic:blipFill>
                  <a:blip r:embed="rId1" cstate="print">
                    <a:extLst>
                      <a:ext uri="{28A0092B-C50C-407E-A947-70E740481C1C}">
                        <a14:useLocalDpi xmlns:a14="http://schemas.microsoft.com/office/drawing/2010/main" val="0"/>
                      </a:ext>
                    </a:extLst>
                  </a:blip>
                  <a:srcRect l="6049" t="3505" r="73004" b="91994"/>
                  <a:stretch>
                    <a:fillRect/>
                  </a:stretch>
                </pic:blipFill>
                <pic:spPr bwMode="auto">
                  <a:xfrm>
                    <a:off x="0" y="0"/>
                    <a:ext cx="158369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Fo</w:t>
    </w:r>
    <w:r w:rsidRPr="009E1B58">
      <w:rPr>
        <w:b/>
        <w:sz w:val="26"/>
        <w:szCs w:val="26"/>
      </w:rPr>
      <w:t>rmular</w:t>
    </w:r>
    <w:r>
      <w:rPr>
        <w:b/>
        <w:sz w:val="26"/>
        <w:szCs w:val="26"/>
      </w:rPr>
      <w:t xml:space="preserve"> </w:t>
    </w:r>
    <w:r w:rsidRPr="009E1B58">
      <w:rPr>
        <w:sz w:val="24"/>
      </w:rPr>
      <w:t xml:space="preserve">zur Mitteilung von Mietzinsveränderungen </w:t>
    </w:r>
    <w:r w:rsidRPr="009E1B58">
      <w:rPr>
        <w:sz w:val="24"/>
      </w:rPr>
      <w:tab/>
    </w:r>
    <w:r w:rsidRPr="009E1B58">
      <w:rPr>
        <w:sz w:val="24"/>
      </w:rPr>
      <w:tab/>
    </w:r>
    <w:r w:rsidRPr="009E1B58">
      <w:rPr>
        <w:sz w:val="24"/>
      </w:rPr>
      <w:tab/>
    </w:r>
    <w:r w:rsidRPr="009E1B58">
      <w:rPr>
        <w:sz w:val="24"/>
      </w:rPr>
      <w:tab/>
      <w:t xml:space="preserve">und/oder anderen </w:t>
    </w:r>
    <w:r>
      <w:rPr>
        <w:sz w:val="24"/>
      </w:rPr>
      <w:t xml:space="preserve">einseitige </w:t>
    </w:r>
    <w:r w:rsidRPr="009E1B58">
      <w:rPr>
        <w:sz w:val="24"/>
      </w:rPr>
      <w:t>Vertragsveränderung</w:t>
    </w:r>
    <w:r>
      <w:rPr>
        <w:sz w:val="24"/>
      </w:rPr>
      <w:t>e</w:t>
    </w:r>
    <w:r w:rsidRPr="009E1B58">
      <w:rPr>
        <w:sz w:val="24"/>
      </w:rPr>
      <w:t>n</w:t>
    </w:r>
  </w:p>
  <w:p w:rsidR="00AC258F" w:rsidRPr="00AC258F" w:rsidRDefault="00AC258F" w:rsidP="00AC258F">
    <w:pPr>
      <w:tabs>
        <w:tab w:val="left" w:pos="2552"/>
        <w:tab w:val="right" w:leader="underscore" w:pos="10206"/>
      </w:tabs>
      <w:ind w:left="2552"/>
      <w:rPr>
        <w:sz w:val="10"/>
        <w:szCs w:val="10"/>
      </w:rPr>
    </w:pPr>
    <w:r w:rsidRPr="00AC258F">
      <w:rPr>
        <w:b/>
        <w:sz w:val="10"/>
        <w:szCs w:val="10"/>
      </w:rPr>
      <w:tab/>
    </w:r>
  </w:p>
  <w:p w:rsidR="00AC258F" w:rsidRPr="00AC258F" w:rsidRDefault="00AC258F" w:rsidP="00AC258F">
    <w:pPr>
      <w:pStyle w:val="Kopfzeile"/>
      <w:tabs>
        <w:tab w:val="clear" w:pos="4536"/>
        <w:tab w:val="left" w:pos="2562"/>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19CA"/>
    <w:multiLevelType w:val="hybridMultilevel"/>
    <w:tmpl w:val="CD46B132"/>
    <w:lvl w:ilvl="0" w:tplc="341EDAF6">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4E611BF2"/>
    <w:multiLevelType w:val="singleLevel"/>
    <w:tmpl w:val="76A05800"/>
    <w:lvl w:ilvl="0">
      <w:start w:val="2"/>
      <w:numFmt w:val="upperLetter"/>
      <w:lvlText w:val="%1."/>
      <w:lvlJc w:val="left"/>
      <w:pPr>
        <w:tabs>
          <w:tab w:val="num" w:pos="420"/>
        </w:tabs>
        <w:ind w:left="42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A1"/>
    <w:rsid w:val="00053671"/>
    <w:rsid w:val="00113159"/>
    <w:rsid w:val="00113AA6"/>
    <w:rsid w:val="001614A1"/>
    <w:rsid w:val="002C4558"/>
    <w:rsid w:val="00493729"/>
    <w:rsid w:val="00497B2F"/>
    <w:rsid w:val="004E75DE"/>
    <w:rsid w:val="00660922"/>
    <w:rsid w:val="00696709"/>
    <w:rsid w:val="00791287"/>
    <w:rsid w:val="0082279E"/>
    <w:rsid w:val="008E5970"/>
    <w:rsid w:val="0098606F"/>
    <w:rsid w:val="00A80FE6"/>
    <w:rsid w:val="00AC258F"/>
    <w:rsid w:val="00B120F8"/>
    <w:rsid w:val="00B408AD"/>
    <w:rsid w:val="00C31C66"/>
    <w:rsid w:val="00C73794"/>
    <w:rsid w:val="00CA516F"/>
    <w:rsid w:val="00E04C27"/>
    <w:rsid w:val="00E94017"/>
    <w:rsid w:val="00F11B78"/>
    <w:rsid w:val="00F1312E"/>
    <w:rsid w:val="00F242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254D6"/>
  <w15:docId w15:val="{1540FFEF-10B0-42DC-A497-7E01949F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08AD"/>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614A1"/>
    <w:rPr>
      <w:sz w:val="18"/>
    </w:rPr>
  </w:style>
  <w:style w:type="character" w:customStyle="1" w:styleId="TextkrperZchn">
    <w:name w:val="Textkörper Zchn"/>
    <w:basedOn w:val="Absatz-Standardschriftart"/>
    <w:link w:val="Textkrper"/>
    <w:rsid w:val="001614A1"/>
    <w:rPr>
      <w:rFonts w:ascii="Arial" w:hAnsi="Arial"/>
      <w:sz w:val="18"/>
      <w:lang w:val="de-DE"/>
    </w:rPr>
  </w:style>
  <w:style w:type="paragraph" w:styleId="Fuzeile">
    <w:name w:val="footer"/>
    <w:basedOn w:val="Standard"/>
    <w:link w:val="FuzeileZchn"/>
    <w:rsid w:val="001614A1"/>
    <w:pPr>
      <w:tabs>
        <w:tab w:val="center" w:pos="4536"/>
        <w:tab w:val="right" w:pos="9072"/>
      </w:tabs>
    </w:pPr>
  </w:style>
  <w:style w:type="character" w:customStyle="1" w:styleId="FuzeileZchn">
    <w:name w:val="Fußzeile Zchn"/>
    <w:basedOn w:val="Absatz-Standardschriftart"/>
    <w:link w:val="Fuzeile"/>
    <w:rsid w:val="001614A1"/>
    <w:rPr>
      <w:rFonts w:ascii="Arial" w:hAnsi="Arial"/>
      <w:sz w:val="22"/>
      <w:lang w:val="de-DE"/>
    </w:rPr>
  </w:style>
  <w:style w:type="paragraph" w:styleId="Funotentext">
    <w:name w:val="footnote text"/>
    <w:basedOn w:val="Standard"/>
    <w:link w:val="FunotentextZchn"/>
    <w:rsid w:val="001614A1"/>
    <w:rPr>
      <w:sz w:val="20"/>
    </w:rPr>
  </w:style>
  <w:style w:type="character" w:customStyle="1" w:styleId="FunotentextZchn">
    <w:name w:val="Fußnotentext Zchn"/>
    <w:basedOn w:val="Absatz-Standardschriftart"/>
    <w:link w:val="Funotentext"/>
    <w:rsid w:val="001614A1"/>
    <w:rPr>
      <w:rFonts w:ascii="Arial" w:hAnsi="Arial"/>
      <w:lang w:val="de-DE"/>
    </w:rPr>
  </w:style>
  <w:style w:type="character" w:styleId="Funotenzeichen">
    <w:name w:val="footnote reference"/>
    <w:rsid w:val="001614A1"/>
    <w:rPr>
      <w:vertAlign w:val="superscript"/>
    </w:rPr>
  </w:style>
  <w:style w:type="paragraph" w:styleId="Kopfzeile">
    <w:name w:val="header"/>
    <w:basedOn w:val="Standard"/>
    <w:link w:val="KopfzeileZchn"/>
    <w:rsid w:val="00CA516F"/>
    <w:pPr>
      <w:tabs>
        <w:tab w:val="center" w:pos="4536"/>
        <w:tab w:val="right" w:pos="9072"/>
      </w:tabs>
    </w:pPr>
  </w:style>
  <w:style w:type="character" w:customStyle="1" w:styleId="KopfzeileZchn">
    <w:name w:val="Kopfzeile Zchn"/>
    <w:basedOn w:val="Absatz-Standardschriftart"/>
    <w:link w:val="Kopfzeile"/>
    <w:rsid w:val="00CA516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0C3A-766A-4577-92E8-EDDDFA76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1324</Words>
  <Characters>10273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Kantonale Verwaltung Glarus</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 Dominique Informatikdienst Lehrling</dc:creator>
  <cp:lastModifiedBy>Helbling Adrian KG</cp:lastModifiedBy>
  <cp:revision>7</cp:revision>
  <cp:lastPrinted>2018-10-19T07:56:00Z</cp:lastPrinted>
  <dcterms:created xsi:type="dcterms:W3CDTF">2018-07-06T15:49:00Z</dcterms:created>
  <dcterms:modified xsi:type="dcterms:W3CDTF">2018-10-19T07:57:00Z</dcterms:modified>
</cp:coreProperties>
</file>